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16" w:rsidRPr="00382816" w:rsidRDefault="00382816" w:rsidP="00382816">
      <w:pPr>
        <w:spacing w:after="0" w:line="300" w:lineRule="exact"/>
        <w:jc w:val="center"/>
        <w:rPr>
          <w:rFonts w:ascii="Arial" w:eastAsia="Times New Roman" w:hAnsi="Arial" w:cs="Arial"/>
          <w:b/>
          <w:u w:val="single"/>
          <w:lang w:eastAsia="cs-CZ"/>
        </w:rPr>
      </w:pPr>
      <w:r w:rsidRPr="00382816">
        <w:rPr>
          <w:rFonts w:ascii="Arial" w:eastAsia="Times New Roman" w:hAnsi="Arial" w:cs="Arial"/>
          <w:b/>
          <w:u w:val="single"/>
          <w:lang w:eastAsia="cs-CZ"/>
        </w:rPr>
        <w:t xml:space="preserve">V. ZÁVĚREČNÁ ZPRÁVA Z HODNOCENÍ DOPADŮ REGULACE </w:t>
      </w:r>
    </w:p>
    <w:p w:rsidR="00382816" w:rsidRPr="00382816" w:rsidRDefault="00382816" w:rsidP="00382816">
      <w:pPr>
        <w:spacing w:after="0" w:line="300" w:lineRule="exact"/>
        <w:jc w:val="center"/>
        <w:rPr>
          <w:rFonts w:ascii="Arial" w:eastAsia="Times New Roman" w:hAnsi="Arial" w:cs="Arial"/>
          <w:b/>
          <w:u w:val="single"/>
          <w:lang w:eastAsia="cs-CZ"/>
        </w:rPr>
      </w:pPr>
      <w:r w:rsidRPr="00382816">
        <w:rPr>
          <w:rFonts w:ascii="Arial" w:eastAsia="Times New Roman" w:hAnsi="Arial" w:cs="Arial"/>
          <w:b/>
          <w:u w:val="single"/>
          <w:lang w:eastAsia="cs-CZ"/>
        </w:rPr>
        <w:t>PODLE OBECNÝCH ZÁSAD (RIA)</w:t>
      </w:r>
    </w:p>
    <w:p w:rsidR="00382816" w:rsidRPr="00382816" w:rsidRDefault="00382816" w:rsidP="00382816">
      <w:pPr>
        <w:spacing w:after="0" w:line="300" w:lineRule="exact"/>
        <w:jc w:val="both"/>
        <w:rPr>
          <w:rFonts w:ascii="Arial" w:eastAsia="Times New Roman" w:hAnsi="Arial" w:cs="Arial"/>
          <w:b/>
          <w:lang w:eastAsia="cs-CZ"/>
        </w:rPr>
      </w:pPr>
    </w:p>
    <w:p w:rsidR="00382816" w:rsidRPr="00382816" w:rsidRDefault="00382816" w:rsidP="00382816">
      <w:pPr>
        <w:numPr>
          <w:ilvl w:val="0"/>
          <w:numId w:val="28"/>
        </w:numPr>
        <w:spacing w:after="0" w:line="300" w:lineRule="exact"/>
        <w:ind w:left="426" w:hanging="349"/>
        <w:contextualSpacing/>
        <w:jc w:val="both"/>
        <w:rPr>
          <w:rFonts w:ascii="Arial" w:eastAsia="Times New Roman" w:hAnsi="Arial" w:cs="Arial"/>
          <w:b/>
          <w:lang w:eastAsia="cs-CZ"/>
        </w:rPr>
      </w:pPr>
      <w:r w:rsidRPr="00382816">
        <w:rPr>
          <w:rFonts w:ascii="Arial" w:eastAsia="Times New Roman" w:hAnsi="Arial" w:cs="Arial"/>
          <w:b/>
          <w:lang w:eastAsia="cs-CZ"/>
        </w:rPr>
        <w:t>Důvod předložení a cíle</w:t>
      </w:r>
    </w:p>
    <w:p w:rsidR="00382816" w:rsidRPr="00382816" w:rsidRDefault="00382816" w:rsidP="00382816">
      <w:pPr>
        <w:spacing w:after="0" w:line="300" w:lineRule="exact"/>
        <w:ind w:left="720"/>
        <w:contextualSpacing/>
        <w:jc w:val="both"/>
        <w:rPr>
          <w:rFonts w:ascii="Arial" w:eastAsia="Times New Roman" w:hAnsi="Arial" w:cs="Arial"/>
          <w:b/>
          <w:lang w:eastAsia="cs-CZ"/>
        </w:rPr>
      </w:pPr>
    </w:p>
    <w:p w:rsidR="00382816" w:rsidRPr="00382816" w:rsidRDefault="00382816" w:rsidP="00382816">
      <w:pPr>
        <w:numPr>
          <w:ilvl w:val="1"/>
          <w:numId w:val="28"/>
        </w:numPr>
        <w:spacing w:after="0" w:line="300" w:lineRule="exact"/>
        <w:contextualSpacing/>
        <w:jc w:val="both"/>
        <w:rPr>
          <w:rFonts w:ascii="Arial" w:eastAsia="Times New Roman" w:hAnsi="Arial" w:cs="Arial"/>
          <w:b/>
          <w:lang w:eastAsia="cs-CZ"/>
        </w:rPr>
      </w:pPr>
      <w:r w:rsidRPr="00382816">
        <w:rPr>
          <w:rFonts w:ascii="Arial" w:eastAsia="Times New Roman" w:hAnsi="Arial" w:cs="Arial"/>
          <w:b/>
          <w:lang w:eastAsia="cs-CZ"/>
        </w:rPr>
        <w:t>Název</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spacing w:after="0" w:line="300" w:lineRule="exact"/>
        <w:ind w:left="360"/>
        <w:jc w:val="both"/>
        <w:rPr>
          <w:rFonts w:ascii="Arial" w:eastAsia="Times New Roman" w:hAnsi="Arial" w:cs="Arial"/>
          <w:lang w:eastAsia="cs-CZ"/>
        </w:rPr>
      </w:pPr>
      <w:r w:rsidRPr="00382816">
        <w:rPr>
          <w:rFonts w:ascii="Arial" w:eastAsia="Times New Roman" w:hAnsi="Arial" w:cs="Arial"/>
          <w:lang w:eastAsia="cs-CZ"/>
        </w:rPr>
        <w:t>Vyhláška, kterou se mění vyhláška č. 376/2011 Sb., kterou se provádějí některá ustanovení zákona o veřejném zdravotním pojištění.</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numPr>
          <w:ilvl w:val="1"/>
          <w:numId w:val="28"/>
        </w:numPr>
        <w:spacing w:after="0" w:line="300" w:lineRule="exact"/>
        <w:contextualSpacing/>
        <w:jc w:val="both"/>
        <w:rPr>
          <w:rFonts w:ascii="Arial" w:eastAsia="Times New Roman" w:hAnsi="Arial" w:cs="Arial"/>
          <w:b/>
          <w:lang w:eastAsia="cs-CZ"/>
        </w:rPr>
      </w:pPr>
      <w:r w:rsidRPr="00382816">
        <w:rPr>
          <w:rFonts w:ascii="Arial" w:eastAsia="Times New Roman" w:hAnsi="Arial" w:cs="Arial"/>
          <w:b/>
          <w:lang w:eastAsia="cs-CZ"/>
        </w:rPr>
        <w:t>Definice problému</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spacing w:after="0" w:line="300" w:lineRule="exact"/>
        <w:ind w:left="360"/>
        <w:jc w:val="both"/>
        <w:rPr>
          <w:rFonts w:ascii="Arial" w:eastAsia="Times New Roman" w:hAnsi="Arial" w:cs="Arial"/>
          <w:lang w:eastAsia="cs-CZ"/>
        </w:rPr>
      </w:pPr>
      <w:r w:rsidRPr="00382816">
        <w:rPr>
          <w:rFonts w:ascii="Arial" w:eastAsia="Times New Roman" w:hAnsi="Arial" w:cs="Arial"/>
          <w:lang w:eastAsia="cs-CZ"/>
        </w:rPr>
        <w:t xml:space="preserve">Reaguje se na skutečnost, že některá ustanovení vyhlášky č. 376/2011 Sb., kterou se provádějí některá ustanovení zákona </w:t>
      </w:r>
      <w:r w:rsidR="00F51446">
        <w:rPr>
          <w:rFonts w:ascii="Arial" w:eastAsia="Times New Roman" w:hAnsi="Arial" w:cs="Arial"/>
          <w:lang w:eastAsia="cs-CZ"/>
        </w:rPr>
        <w:t>č. 48/1997 Sb.</w:t>
      </w:r>
      <w:r w:rsidRPr="00382816">
        <w:rPr>
          <w:rFonts w:ascii="Arial" w:eastAsia="Times New Roman" w:hAnsi="Arial" w:cs="Arial"/>
          <w:lang w:eastAsia="cs-CZ"/>
        </w:rPr>
        <w:t xml:space="preserve"> (dále jen „vyhláška č. 376/2011 Sb.“ nebo „vyhláška“), které se týkají zejména vy</w:t>
      </w:r>
      <w:bookmarkStart w:id="0" w:name="_GoBack"/>
      <w:bookmarkEnd w:id="0"/>
      <w:r w:rsidRPr="00382816">
        <w:rPr>
          <w:rFonts w:ascii="Arial" w:eastAsia="Times New Roman" w:hAnsi="Arial" w:cs="Arial"/>
          <w:lang w:eastAsia="cs-CZ"/>
        </w:rPr>
        <w:t>soce inovativních léčivých přípravků, neodpovídají současnému stavu lékařské vědy a potřebám fungování systému zdravotnictví a jeho financování.</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spacing w:after="0" w:line="300" w:lineRule="exact"/>
        <w:ind w:left="360"/>
        <w:jc w:val="both"/>
        <w:rPr>
          <w:rFonts w:ascii="Arial" w:eastAsia="Times New Roman" w:hAnsi="Arial" w:cs="Arial"/>
          <w:lang w:eastAsia="cs-CZ"/>
        </w:rPr>
      </w:pPr>
      <w:r w:rsidRPr="00382816">
        <w:rPr>
          <w:rFonts w:ascii="Arial" w:eastAsia="Times New Roman" w:hAnsi="Arial" w:cs="Arial"/>
          <w:lang w:eastAsia="cs-CZ"/>
        </w:rPr>
        <w:t xml:space="preserve">Vysoce inovativní léčivé přípravky jsou z povahy věci dražší než alternativní léčba nebo </w:t>
      </w:r>
      <w:r w:rsidR="00F51446">
        <w:rPr>
          <w:rFonts w:ascii="Arial" w:eastAsia="Times New Roman" w:hAnsi="Arial" w:cs="Arial"/>
          <w:lang w:eastAsia="cs-CZ"/>
        </w:rPr>
        <w:t>nemají žádnou alternativu v podobě léčivého přípravku</w:t>
      </w:r>
      <w:r w:rsidRPr="00382816">
        <w:rPr>
          <w:rFonts w:ascii="Arial" w:eastAsia="Times New Roman" w:hAnsi="Arial" w:cs="Arial"/>
          <w:lang w:eastAsia="cs-CZ"/>
        </w:rPr>
        <w:t xml:space="preserve">. V jedné rovině inovativnosti je v současné době dostupných i více zaměnitelných inovativních léčivých přípravků, které mají všechny zvýhodněnou úhradu. Výdaje z prostředků veřejného zdravotního pojištění na vysoce inovativní léčivé přípravky od roku 2009 neustále rostou a v roce 2015 byly tyto náklady téměř dvojnásobně vyšší oproti roku 2009. Výdaje z prostředků veřejného zdravotního pojištění na vysoce inovativní léčivé přípravky se v uplynulých letech zvýšily v řádech několika miliard korun a i nadále nezadržitelně rostou. Důvodem nárůstu nákladů je zejména příchod nových vysoce inovativních léčivých přípravků na trh, ale také rozšiřování indikací, ve kterých je možné použít ty vysoce inovativní léčivé přípravky, které už na trhu jsou. Strmý nárůst výdajů zdravotních pojišťoven na úhradu vysoce inovativních léčivých přípravků vede k tomu, že finanční limity veřejného zdravotního pojištění se zužují a další setrvání v systému umožňujícímu vstup těchto nákladných léčiv do systému úhrad za široce definovaných podmínek beze změny by mohlo ohrozit finanční stabilitu fondu veřejného zdravotního pojištění. Jedním z hlavních principů veřejného zdravotního pojištění je přitom právě ochrana veřejného zájmu na zajištění kvality a dostupnosti hrazených služeb, fungování systému zdravotnictví a jeho stability v rámci finančních možností systému veřejného zdravotního pojištění. </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numPr>
          <w:ilvl w:val="1"/>
          <w:numId w:val="28"/>
        </w:numPr>
        <w:spacing w:after="0" w:line="300" w:lineRule="exact"/>
        <w:contextualSpacing/>
        <w:jc w:val="both"/>
        <w:rPr>
          <w:rFonts w:ascii="Arial" w:eastAsia="Times New Roman" w:hAnsi="Arial" w:cs="Arial"/>
          <w:b/>
          <w:lang w:eastAsia="cs-CZ"/>
        </w:rPr>
      </w:pPr>
      <w:r w:rsidRPr="00382816">
        <w:rPr>
          <w:rFonts w:ascii="Arial" w:eastAsia="Times New Roman" w:hAnsi="Arial" w:cs="Arial"/>
          <w:b/>
          <w:lang w:eastAsia="cs-CZ"/>
        </w:rPr>
        <w:t>Popis existujícího právního stavu v dané oblasti</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spacing w:after="0" w:line="300" w:lineRule="exact"/>
        <w:ind w:left="360"/>
        <w:jc w:val="both"/>
        <w:rPr>
          <w:rFonts w:ascii="Arial" w:eastAsia="Times New Roman" w:hAnsi="Arial" w:cs="Arial"/>
          <w:lang w:eastAsia="cs-CZ"/>
        </w:rPr>
      </w:pPr>
      <w:r w:rsidRPr="00382816">
        <w:rPr>
          <w:rFonts w:ascii="Arial" w:eastAsia="Times New Roman" w:hAnsi="Arial" w:cs="Arial"/>
          <w:lang w:eastAsia="cs-CZ"/>
        </w:rPr>
        <w:t xml:space="preserve">Právní úprava vysoce inovativních léčivých přípravků je obsažena v zákoně č. 48/1997 Sb. a ve vyhlášce č. 376/2011 Sb. Vysoce inovativním přípravkem se podle ustanovení § 39a odst. 8 a § 39d odst. 1 ve spojení s odst. 6 zákona č. 48/1997 Sb. rozumí takový léčivý přípravek nebo </w:t>
      </w:r>
      <w:r w:rsidRPr="00382816">
        <w:rPr>
          <w:rFonts w:ascii="Arial" w:eastAsia="Times New Roman" w:hAnsi="Arial" w:cs="Arial"/>
          <w:lang w:eastAsia="cs-CZ"/>
        </w:rPr>
        <w:lastRenderedPageBreak/>
        <w:t>potravina pro zvláštní lékařské účely, u které dosud není znám dostatek údajů o nákladové efektivitě nebo výsledcích léčby při použití v klinické praxi pro léčbu vysoce závažných onemocnění, která dosud nebyla ovlivnitelná jiným léčivým přípravkem nebo potravinou pro zvláštní lékařské účely nebo představuje zásadní zlepšení léčby. Tyto léčivé přípravky mohou být dle stávající právní úpravy zařazeny do systému úhrad formou dočasné úhrady,</w:t>
      </w:r>
      <w:r w:rsidR="00F51446">
        <w:rPr>
          <w:rFonts w:ascii="Arial" w:eastAsia="Times New Roman" w:hAnsi="Arial" w:cs="Arial"/>
          <w:lang w:eastAsia="cs-CZ"/>
        </w:rPr>
        <w:t xml:space="preserve"> je-li to ve veřejném zájmu a</w:t>
      </w:r>
      <w:r w:rsidRPr="00382816">
        <w:rPr>
          <w:rFonts w:ascii="Arial" w:eastAsia="Times New Roman" w:hAnsi="Arial" w:cs="Arial"/>
          <w:lang w:eastAsia="cs-CZ"/>
        </w:rPr>
        <w:t xml:space="preserve"> odůvodňují-li dostupné údaje dostatečně průkazně přínos vysoce inovativního přípravku pro léčbu, dále splňuje-li vysoce inovativní přípravek ostatní podmínky pro stanovení úhrady a je-li hrazen z veřejných prostředků alespoň ve 2 zemích referenčního koše. Podmínkou pro přiznání dočasné úhrady vysoce inovativnímu léčivému přípravku je podle ustanovení § 39d odst. 3 zákona č. 48/1997 Sb. také předem daný závazek žadatele zajistit průběžné hodnocení léčba posuzovaným vysoce inovativním přípravkem, limitaci dopadu dočasné úhrady na finanční prostředky zdravotního pojištění, hodnocení nákladové efektivity, a hrazení nákladů na doléčení pacienta vysoce inovativním přípravkem po uplynutí doby, na kterou byla stanovena dočasná úhrada až do převedení pacienta na jinou léčbu. Podle ustanovení § 39d odst. 2 zákona č. 48/1997 Sb. in fine platí, že mezi podmínkami úhrady vysoce inovativního přípravku je vždy podání na specializovaném pracovišti. Léčivý přípravek, jehož úhrada ze zdravotního pojištění je rozhodnutím Ústavu podmíněna používáním na specializovaném pracovišti, zdravotní pojišťovna hradí pouze poskytovateli, se kterým za účelem hospodárného užití takových léčivých přípravků uzavřela zvláštní smlouvu. Součástí takové smlouvy musí být uvedení léčivého přípravku a pracoviště zdravotnického zařízení poskytovatele (§ 15 odst. 10 zákona č. 48/1997 Sb.). Podle § 39 vyhlášky č. 376/2011 Sb. (přípravky specializované péče) platí, že u vysoce inovativního přípravku, kterému je stanovena dočasná úhrada podle § 39d zákona č. 48/1997 Sb., Ústav vždy v rozhodnutí označí přípravek, jehož použití je s ohledem na veřejný zájem účelné soustředit do specializovaných pracovišť podle § 15 odst. 10 zákona č. 48/1997 Sb., symbolem „S“. Takový přípravek účtuje jako zvlášť účtovaný přípravek zdravotní pojišťovně pouze specializované pracoviště, a to na základě smlouvy uzavřené mezi ním a zdravotní pojišťovnou. </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numPr>
          <w:ilvl w:val="1"/>
          <w:numId w:val="28"/>
        </w:numPr>
        <w:spacing w:after="0" w:line="300" w:lineRule="exact"/>
        <w:contextualSpacing/>
        <w:jc w:val="both"/>
        <w:rPr>
          <w:rFonts w:ascii="Arial" w:eastAsia="Times New Roman" w:hAnsi="Arial" w:cs="Arial"/>
          <w:b/>
          <w:lang w:eastAsia="cs-CZ"/>
        </w:rPr>
      </w:pPr>
      <w:r w:rsidRPr="00382816">
        <w:rPr>
          <w:rFonts w:ascii="Arial" w:eastAsia="Times New Roman" w:hAnsi="Arial" w:cs="Arial"/>
          <w:b/>
          <w:lang w:eastAsia="cs-CZ"/>
        </w:rPr>
        <w:t>Identifikace dotčených subjektů</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spacing w:after="0" w:line="300" w:lineRule="exact"/>
        <w:ind w:left="360"/>
        <w:jc w:val="both"/>
        <w:rPr>
          <w:rFonts w:ascii="Arial" w:eastAsia="Times New Roman" w:hAnsi="Arial" w:cs="Arial"/>
          <w:lang w:eastAsia="cs-CZ"/>
        </w:rPr>
      </w:pPr>
      <w:r w:rsidRPr="00382816">
        <w:rPr>
          <w:rFonts w:ascii="Arial" w:eastAsia="Times New Roman" w:hAnsi="Arial" w:cs="Arial"/>
          <w:lang w:eastAsia="cs-CZ"/>
        </w:rPr>
        <w:t xml:space="preserve">Návrh se přímo týká podnikatelských subjektů v odvětví farmacie, zejména žadatelů o dočasnou úhradu vysoce inovativního léčivého přípravku, držitelů rozhodnutí o registraci léčivých přípravků, dovozců nebo tuzemských výrobců potravin pro zvláštní lékařské účely (subjekty uvedené v § 39f odst. 2 zákona č. 48/1997 Sb.). Dále jsou dotčenými subjekty zdravotní pojišťovny, Státní ústav pro kontrolu léčiv, Ministerstvo zdravotnictví. </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numPr>
          <w:ilvl w:val="1"/>
          <w:numId w:val="28"/>
        </w:numPr>
        <w:spacing w:after="0" w:line="300" w:lineRule="exact"/>
        <w:contextualSpacing/>
        <w:jc w:val="both"/>
        <w:rPr>
          <w:rFonts w:ascii="Arial" w:eastAsia="Times New Roman" w:hAnsi="Arial" w:cs="Arial"/>
          <w:b/>
          <w:lang w:eastAsia="cs-CZ"/>
        </w:rPr>
      </w:pPr>
      <w:r w:rsidRPr="00382816">
        <w:rPr>
          <w:rFonts w:ascii="Arial" w:eastAsia="Times New Roman" w:hAnsi="Arial" w:cs="Arial"/>
          <w:b/>
          <w:lang w:eastAsia="cs-CZ"/>
        </w:rPr>
        <w:t>Popis cílového stavu</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spacing w:after="0" w:line="300" w:lineRule="exact"/>
        <w:ind w:left="360"/>
        <w:jc w:val="both"/>
        <w:rPr>
          <w:rFonts w:ascii="Arial" w:eastAsia="Times New Roman" w:hAnsi="Arial" w:cs="Arial"/>
          <w:lang w:eastAsia="cs-CZ"/>
        </w:rPr>
      </w:pPr>
      <w:r w:rsidRPr="00382816">
        <w:rPr>
          <w:rFonts w:ascii="Arial" w:eastAsia="Times New Roman" w:hAnsi="Arial" w:cs="Arial"/>
          <w:lang w:eastAsia="cs-CZ"/>
        </w:rPr>
        <w:t xml:space="preserve">Cílem navrhované novelizace je podmínění vstupu vysoce inovativních přípravků do systému cen a úhrad přísnějšími požadavky, zajištění účinnější a účelnější léčby vysoce inovativními léčivými přípravky, racionalizace výdajů prostředků veřejného zdravotního pojištění, zamezení </w:t>
      </w:r>
      <w:r w:rsidRPr="00382816">
        <w:rPr>
          <w:rFonts w:ascii="Arial" w:eastAsia="Times New Roman" w:hAnsi="Arial" w:cs="Arial"/>
          <w:lang w:eastAsia="cs-CZ"/>
        </w:rPr>
        <w:lastRenderedPageBreak/>
        <w:t xml:space="preserve">existence několika srovnatelně účinných léčivých přípravků se statusem vysoce inovativního léčivého přípravku. </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numPr>
          <w:ilvl w:val="1"/>
          <w:numId w:val="28"/>
        </w:numPr>
        <w:spacing w:after="0" w:line="300" w:lineRule="exact"/>
        <w:contextualSpacing/>
        <w:jc w:val="both"/>
        <w:rPr>
          <w:rFonts w:ascii="Arial" w:eastAsia="Times New Roman" w:hAnsi="Arial" w:cs="Arial"/>
          <w:b/>
          <w:lang w:eastAsia="cs-CZ"/>
        </w:rPr>
      </w:pPr>
      <w:r w:rsidRPr="00382816">
        <w:rPr>
          <w:rFonts w:ascii="Arial" w:eastAsia="Times New Roman" w:hAnsi="Arial" w:cs="Arial"/>
          <w:b/>
          <w:lang w:eastAsia="cs-CZ"/>
        </w:rPr>
        <w:t>Zhodnocení rizika</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spacing w:after="0" w:line="300" w:lineRule="exact"/>
        <w:ind w:left="360"/>
        <w:jc w:val="both"/>
        <w:rPr>
          <w:rFonts w:ascii="Arial" w:eastAsia="Times New Roman" w:hAnsi="Arial" w:cs="Arial"/>
          <w:lang w:eastAsia="cs-CZ"/>
        </w:rPr>
      </w:pPr>
      <w:r w:rsidRPr="00382816">
        <w:rPr>
          <w:rFonts w:ascii="Arial" w:eastAsia="Times New Roman" w:hAnsi="Arial" w:cs="Arial"/>
          <w:lang w:eastAsia="cs-CZ"/>
        </w:rPr>
        <w:t>Strmý nárůst výdajů zdravotních pojišťoven na úhradu vysoce inovativních léčivých přípravků vede k tomu, že finanční limity veřejného zdravotního pojištění se zužují a další setrvání v systému umožňujícímu vstup těchto nákladných léčiv do systému úhrad za široce definovaných podmínek beze změny by mohlo ohrozit finanční stabilitu fondu veřejného zdravotního pojištění. Jedním z hlavních principů veřejného zdravotního pojištění je přitom právě ochrana veřejného zájmu na zajištění kvality a dostupnosti hrazených služeb, fungování systému zdravotnictví a jeho stability v rámci finančních možností systému veřejného zdravotního pojištění, jak je definován v ustanovení § 17 odst. 2 zákona č. 48/1997 Sb. Jednotlivé pilíře, na kterých je systém veřejného zdravotního pojištění postaven, jsou přitom navzájem úzce provázané. Dojde-li k podstatnému narušení nebo zhroucení jeho finanční stability, závažně tím bude poznamenána rovněž kvalita a dostupnost všech hrazených služeb a celého systému zdravotnictví. Z uvedeného důvodu je nutné takové situaci předejít, a to provedením dílčích změn, které povedou k racionalizaci výdajů veřejného zdravotního pojištění vynaložených na vysoce inovativní léčivé přípravky při současném šetření práv pacientů na dostupnost hrazených služeb a zajištění její kvality.</w:t>
      </w:r>
    </w:p>
    <w:p w:rsidR="00382816" w:rsidRPr="00382816" w:rsidRDefault="00382816" w:rsidP="00382816">
      <w:pPr>
        <w:spacing w:after="0" w:line="300" w:lineRule="exact"/>
        <w:jc w:val="both"/>
        <w:rPr>
          <w:rFonts w:ascii="Arial" w:eastAsia="Times New Roman" w:hAnsi="Arial" w:cs="Arial"/>
          <w:lang w:eastAsia="cs-CZ"/>
        </w:rPr>
      </w:pPr>
    </w:p>
    <w:p w:rsidR="00382816" w:rsidRPr="00382816" w:rsidRDefault="00382816" w:rsidP="00382816">
      <w:pPr>
        <w:numPr>
          <w:ilvl w:val="0"/>
          <w:numId w:val="28"/>
        </w:numPr>
        <w:spacing w:after="0" w:line="300" w:lineRule="exact"/>
        <w:ind w:left="426"/>
        <w:contextualSpacing/>
        <w:jc w:val="both"/>
        <w:rPr>
          <w:rFonts w:ascii="Arial" w:eastAsia="Times New Roman" w:hAnsi="Arial" w:cs="Arial"/>
          <w:b/>
          <w:lang w:eastAsia="cs-CZ"/>
        </w:rPr>
      </w:pPr>
      <w:r w:rsidRPr="00382816">
        <w:rPr>
          <w:rFonts w:ascii="Arial" w:eastAsia="Times New Roman" w:hAnsi="Arial" w:cs="Arial"/>
          <w:b/>
          <w:lang w:eastAsia="cs-CZ"/>
        </w:rPr>
        <w:t>Návrh variant řešení</w:t>
      </w:r>
    </w:p>
    <w:p w:rsidR="00382816" w:rsidRPr="00382816" w:rsidRDefault="00382816" w:rsidP="00382816">
      <w:pPr>
        <w:spacing w:after="0" w:line="300" w:lineRule="exact"/>
        <w:ind w:left="360"/>
        <w:jc w:val="both"/>
        <w:rPr>
          <w:rFonts w:ascii="Arial" w:eastAsia="Times New Roman" w:hAnsi="Arial" w:cs="Arial"/>
          <w:b/>
          <w:lang w:eastAsia="cs-CZ"/>
        </w:rPr>
      </w:pPr>
    </w:p>
    <w:p w:rsidR="00382816" w:rsidRPr="00382816" w:rsidRDefault="00382816" w:rsidP="00382816">
      <w:pPr>
        <w:numPr>
          <w:ilvl w:val="1"/>
          <w:numId w:val="28"/>
        </w:numPr>
        <w:spacing w:after="0" w:line="300" w:lineRule="exact"/>
        <w:contextualSpacing/>
        <w:jc w:val="both"/>
        <w:rPr>
          <w:rFonts w:ascii="Arial" w:eastAsia="Times New Roman" w:hAnsi="Arial" w:cs="Arial"/>
          <w:b/>
          <w:lang w:eastAsia="cs-CZ"/>
        </w:rPr>
      </w:pPr>
      <w:r w:rsidRPr="00382816">
        <w:rPr>
          <w:rFonts w:ascii="Arial" w:eastAsia="Times New Roman" w:hAnsi="Arial" w:cs="Arial"/>
          <w:b/>
          <w:lang w:eastAsia="cs-CZ"/>
        </w:rPr>
        <w:t>Nulová varianta</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spacing w:after="0" w:line="300" w:lineRule="exact"/>
        <w:ind w:left="360"/>
        <w:jc w:val="both"/>
        <w:rPr>
          <w:rFonts w:ascii="Arial" w:eastAsia="Times New Roman" w:hAnsi="Arial" w:cs="Arial"/>
          <w:lang w:eastAsia="cs-CZ"/>
        </w:rPr>
      </w:pPr>
      <w:r w:rsidRPr="00382816">
        <w:rPr>
          <w:rFonts w:ascii="Arial" w:eastAsia="Times New Roman" w:hAnsi="Arial" w:cs="Arial"/>
          <w:lang w:eastAsia="cs-CZ"/>
        </w:rPr>
        <w:t>Nulová varianta znamená zachování současného stavu tedy nulovou změnu.</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numPr>
          <w:ilvl w:val="1"/>
          <w:numId w:val="28"/>
        </w:numPr>
        <w:spacing w:after="0" w:line="300" w:lineRule="exact"/>
        <w:contextualSpacing/>
        <w:jc w:val="both"/>
        <w:rPr>
          <w:rFonts w:ascii="Arial" w:eastAsia="Times New Roman" w:hAnsi="Arial" w:cs="Arial"/>
          <w:b/>
          <w:lang w:eastAsia="cs-CZ"/>
        </w:rPr>
      </w:pPr>
      <w:r w:rsidRPr="00382816">
        <w:rPr>
          <w:rFonts w:ascii="Arial" w:eastAsia="Times New Roman" w:hAnsi="Arial" w:cs="Arial"/>
          <w:b/>
          <w:lang w:eastAsia="cs-CZ"/>
        </w:rPr>
        <w:t>Varianta úpravy</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spacing w:after="0" w:line="300" w:lineRule="exact"/>
        <w:ind w:left="360"/>
        <w:jc w:val="both"/>
        <w:rPr>
          <w:rFonts w:ascii="Arial" w:eastAsia="Times New Roman" w:hAnsi="Arial" w:cs="Arial"/>
          <w:lang w:eastAsia="cs-CZ"/>
        </w:rPr>
      </w:pPr>
      <w:r w:rsidRPr="00382816">
        <w:rPr>
          <w:rFonts w:ascii="Arial" w:eastAsia="Times New Roman" w:hAnsi="Arial" w:cs="Arial"/>
          <w:lang w:eastAsia="cs-CZ"/>
        </w:rPr>
        <w:t>Úprava reaguje zejména na skutečnost, že výdaje z prostředků veřejného zdravotního pojištění na vysoce inovativní léčivé přípravky se v uplynulých letech zvýšily a i nadále nezadržitelně rostou. Úpravou stávající vyhlášky č. 376/2011 Sb. dojde k podmínění vstupu vysoce inovativních přípravků do systému cen a úhrad přísnějšími požadavky, k racionalizaci výdajů prostředků veřejného zdravotního pojištění na léčivé přípravky, k zamezení existence několika srovnatelně účinných léčivých přípravků se statusem vysoce inovativního léčivého přípravku.</w:t>
      </w:r>
    </w:p>
    <w:p w:rsidR="00382816" w:rsidRPr="00382816" w:rsidRDefault="00382816" w:rsidP="00382816">
      <w:pPr>
        <w:spacing w:after="0" w:line="300" w:lineRule="exact"/>
        <w:jc w:val="both"/>
        <w:rPr>
          <w:rFonts w:ascii="Arial" w:eastAsia="Times New Roman" w:hAnsi="Arial" w:cs="Arial"/>
          <w:lang w:eastAsia="cs-CZ"/>
        </w:rPr>
      </w:pPr>
    </w:p>
    <w:p w:rsidR="00382816" w:rsidRPr="00382816" w:rsidRDefault="00382816" w:rsidP="00382816">
      <w:pPr>
        <w:numPr>
          <w:ilvl w:val="0"/>
          <w:numId w:val="28"/>
        </w:numPr>
        <w:spacing w:after="0" w:line="300" w:lineRule="exact"/>
        <w:ind w:left="426"/>
        <w:contextualSpacing/>
        <w:jc w:val="both"/>
        <w:rPr>
          <w:rFonts w:ascii="Arial" w:eastAsia="Times New Roman" w:hAnsi="Arial" w:cs="Arial"/>
          <w:b/>
          <w:lang w:eastAsia="cs-CZ"/>
        </w:rPr>
      </w:pPr>
      <w:r w:rsidRPr="00382816">
        <w:rPr>
          <w:rFonts w:ascii="Arial" w:eastAsia="Times New Roman" w:hAnsi="Arial" w:cs="Arial"/>
          <w:b/>
          <w:lang w:eastAsia="cs-CZ"/>
        </w:rPr>
        <w:t>Vyhodnocení nákladů a přínosů</w:t>
      </w:r>
    </w:p>
    <w:p w:rsidR="00382816" w:rsidRPr="00382816" w:rsidRDefault="00382816" w:rsidP="00382816">
      <w:pPr>
        <w:spacing w:after="0" w:line="300" w:lineRule="exact"/>
        <w:ind w:left="360"/>
        <w:jc w:val="both"/>
        <w:rPr>
          <w:rFonts w:ascii="Arial" w:eastAsia="Times New Roman" w:hAnsi="Arial" w:cs="Arial"/>
          <w:b/>
          <w:lang w:eastAsia="cs-CZ"/>
        </w:rPr>
      </w:pPr>
    </w:p>
    <w:p w:rsidR="00382816" w:rsidRPr="00382816" w:rsidRDefault="00382816" w:rsidP="00382816">
      <w:pPr>
        <w:numPr>
          <w:ilvl w:val="1"/>
          <w:numId w:val="28"/>
        </w:numPr>
        <w:spacing w:after="0" w:line="300" w:lineRule="exact"/>
        <w:contextualSpacing/>
        <w:jc w:val="both"/>
        <w:rPr>
          <w:rFonts w:ascii="Arial" w:eastAsia="Times New Roman" w:hAnsi="Arial" w:cs="Arial"/>
          <w:b/>
          <w:lang w:eastAsia="cs-CZ"/>
        </w:rPr>
      </w:pPr>
      <w:r w:rsidRPr="00382816">
        <w:rPr>
          <w:rFonts w:ascii="Arial" w:eastAsia="Times New Roman" w:hAnsi="Arial" w:cs="Arial"/>
          <w:b/>
          <w:lang w:eastAsia="cs-CZ"/>
        </w:rPr>
        <w:t>Nulová varianta</w:t>
      </w:r>
    </w:p>
    <w:p w:rsidR="00382816" w:rsidRPr="00382816" w:rsidRDefault="00382816" w:rsidP="00382816">
      <w:pPr>
        <w:spacing w:after="0" w:line="300" w:lineRule="exact"/>
        <w:ind w:left="360"/>
        <w:jc w:val="both"/>
        <w:rPr>
          <w:rFonts w:ascii="Arial" w:eastAsia="Times New Roman" w:hAnsi="Arial" w:cs="Arial"/>
          <w:b/>
          <w:lang w:eastAsia="cs-CZ"/>
        </w:rPr>
      </w:pPr>
    </w:p>
    <w:p w:rsidR="00382816" w:rsidRPr="00382816" w:rsidRDefault="00382816" w:rsidP="00382816">
      <w:pPr>
        <w:spacing w:after="0" w:line="300" w:lineRule="exact"/>
        <w:ind w:left="360"/>
        <w:jc w:val="both"/>
        <w:rPr>
          <w:rFonts w:ascii="Arial" w:eastAsia="Times New Roman" w:hAnsi="Arial" w:cs="Arial"/>
          <w:b/>
          <w:lang w:eastAsia="cs-CZ"/>
        </w:rPr>
      </w:pPr>
      <w:r w:rsidRPr="00382816">
        <w:rPr>
          <w:rFonts w:ascii="Arial" w:eastAsia="Times New Roman" w:hAnsi="Arial" w:cs="Arial"/>
          <w:b/>
          <w:lang w:eastAsia="cs-CZ"/>
        </w:rPr>
        <w:t>Náklady</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spacing w:after="0" w:line="300" w:lineRule="exact"/>
        <w:ind w:left="360"/>
        <w:jc w:val="both"/>
        <w:rPr>
          <w:rFonts w:ascii="Arial" w:eastAsia="Times New Roman" w:hAnsi="Arial" w:cs="Arial"/>
          <w:lang w:eastAsia="cs-CZ"/>
        </w:rPr>
      </w:pPr>
      <w:r w:rsidRPr="00382816">
        <w:rPr>
          <w:rFonts w:ascii="Arial" w:eastAsia="Times New Roman" w:hAnsi="Arial" w:cs="Arial"/>
          <w:lang w:eastAsia="cs-CZ"/>
        </w:rPr>
        <w:lastRenderedPageBreak/>
        <w:t xml:space="preserve">Další </w:t>
      </w:r>
      <w:r w:rsidR="0066781B">
        <w:rPr>
          <w:rFonts w:ascii="Arial" w:eastAsia="Times New Roman" w:hAnsi="Arial" w:cs="Arial"/>
          <w:lang w:eastAsia="cs-CZ"/>
        </w:rPr>
        <w:t xml:space="preserve">obtížně </w:t>
      </w:r>
      <w:r w:rsidRPr="00382816">
        <w:rPr>
          <w:rFonts w:ascii="Arial" w:eastAsia="Times New Roman" w:hAnsi="Arial" w:cs="Arial"/>
          <w:lang w:eastAsia="cs-CZ"/>
        </w:rPr>
        <w:t>kontrolovatelný strmý nárůst výdajů pojišťoven z prostředků veřejného zdravotního pojištění a ohrožení kvality a dostupnosti hrazených služeb, fungování systému zdravotnictví a finanční stability systému veřejného zdravotního pojištění až jeho kolaps.</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spacing w:after="0" w:line="300" w:lineRule="exact"/>
        <w:ind w:left="360"/>
        <w:jc w:val="both"/>
        <w:rPr>
          <w:rFonts w:ascii="Arial" w:eastAsia="Times New Roman" w:hAnsi="Arial" w:cs="Arial"/>
          <w:b/>
          <w:lang w:eastAsia="cs-CZ"/>
        </w:rPr>
      </w:pPr>
      <w:r w:rsidRPr="00382816">
        <w:rPr>
          <w:rFonts w:ascii="Arial" w:eastAsia="Times New Roman" w:hAnsi="Arial" w:cs="Arial"/>
          <w:b/>
          <w:lang w:eastAsia="cs-CZ"/>
        </w:rPr>
        <w:t>Přínosy</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spacing w:after="0" w:line="300" w:lineRule="exact"/>
        <w:ind w:left="360"/>
        <w:jc w:val="both"/>
        <w:rPr>
          <w:rFonts w:ascii="Arial" w:eastAsia="Times New Roman" w:hAnsi="Arial" w:cs="Arial"/>
          <w:lang w:eastAsia="cs-CZ"/>
        </w:rPr>
      </w:pPr>
      <w:r w:rsidRPr="00382816">
        <w:rPr>
          <w:rFonts w:ascii="Arial" w:eastAsia="Times New Roman" w:hAnsi="Arial" w:cs="Arial"/>
          <w:lang w:eastAsia="cs-CZ"/>
        </w:rPr>
        <w:t>Předkladatel neshledal žádné přínosy v zachování současného stavu.</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numPr>
          <w:ilvl w:val="1"/>
          <w:numId w:val="28"/>
        </w:numPr>
        <w:spacing w:after="0" w:line="300" w:lineRule="exact"/>
        <w:contextualSpacing/>
        <w:jc w:val="both"/>
        <w:rPr>
          <w:rFonts w:ascii="Arial" w:eastAsia="Times New Roman" w:hAnsi="Arial" w:cs="Arial"/>
          <w:b/>
          <w:lang w:eastAsia="cs-CZ"/>
        </w:rPr>
      </w:pPr>
      <w:r w:rsidRPr="00382816">
        <w:rPr>
          <w:rFonts w:ascii="Arial" w:eastAsia="Times New Roman" w:hAnsi="Arial" w:cs="Arial"/>
          <w:b/>
          <w:lang w:eastAsia="cs-CZ"/>
        </w:rPr>
        <w:t>Varianta úpravy</w:t>
      </w:r>
    </w:p>
    <w:p w:rsidR="00382816" w:rsidRPr="00382816" w:rsidRDefault="00382816" w:rsidP="00382816">
      <w:pPr>
        <w:spacing w:after="0" w:line="300" w:lineRule="exact"/>
        <w:ind w:left="360"/>
        <w:jc w:val="both"/>
        <w:rPr>
          <w:rFonts w:ascii="Arial" w:eastAsia="Times New Roman" w:hAnsi="Arial" w:cs="Arial"/>
          <w:b/>
          <w:lang w:eastAsia="cs-CZ"/>
        </w:rPr>
      </w:pPr>
    </w:p>
    <w:p w:rsidR="00382816" w:rsidRPr="00382816" w:rsidRDefault="00382816" w:rsidP="00382816">
      <w:pPr>
        <w:spacing w:after="0" w:line="300" w:lineRule="exact"/>
        <w:ind w:left="360"/>
        <w:jc w:val="both"/>
        <w:rPr>
          <w:rFonts w:ascii="Arial" w:eastAsia="Times New Roman" w:hAnsi="Arial" w:cs="Arial"/>
          <w:b/>
          <w:lang w:eastAsia="cs-CZ"/>
        </w:rPr>
      </w:pPr>
      <w:r w:rsidRPr="00382816">
        <w:rPr>
          <w:rFonts w:ascii="Arial" w:eastAsia="Times New Roman" w:hAnsi="Arial" w:cs="Arial"/>
          <w:b/>
          <w:lang w:eastAsia="cs-CZ"/>
        </w:rPr>
        <w:t>Náklady</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spacing w:after="0" w:line="300" w:lineRule="exact"/>
        <w:ind w:left="360"/>
        <w:jc w:val="both"/>
        <w:rPr>
          <w:rFonts w:ascii="Arial" w:eastAsia="Times New Roman" w:hAnsi="Arial" w:cs="Arial"/>
          <w:lang w:eastAsia="cs-CZ"/>
        </w:rPr>
      </w:pPr>
      <w:r w:rsidRPr="00382816">
        <w:rPr>
          <w:rFonts w:ascii="Arial" w:eastAsia="Times New Roman" w:hAnsi="Arial" w:cs="Arial"/>
          <w:lang w:eastAsia="cs-CZ"/>
        </w:rPr>
        <w:t>Změna hodnoty v pravidle pro výpočet maximální ceny (hranice cenového extrému) v § 7 snižuje počet případů, kdy dochází k navýšení maximální ceny z důvodu zjištěného cenového extrému. Navržená úprava by mohla teoreticky vést ke stanovení vyšší maximální ceny, když se neuplatní postup stanovením dle nižší ceny z dohod. Toto riziko je však zanedbatelné. Z pohledu celkové bilance tak lze konstatovat, že navržená novelizace § 7 povede ke stanovení maximálních cen na nižší úrovni, a tedy ke</w:t>
      </w:r>
      <w:r w:rsidR="003B4A52">
        <w:rPr>
          <w:rFonts w:ascii="Arial" w:eastAsia="Times New Roman" w:hAnsi="Arial" w:cs="Arial"/>
          <w:lang w:eastAsia="cs-CZ"/>
        </w:rPr>
        <w:t xml:space="preserve"> snížení nákladů</w:t>
      </w:r>
      <w:r w:rsidRPr="00382816">
        <w:rPr>
          <w:rFonts w:ascii="Arial" w:eastAsia="Times New Roman" w:hAnsi="Arial" w:cs="Arial"/>
          <w:lang w:eastAsia="cs-CZ"/>
        </w:rPr>
        <w:t xml:space="preserve"> veřejného zdravotního pojištění.</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spacing w:after="0" w:line="300" w:lineRule="exact"/>
        <w:ind w:left="360"/>
        <w:jc w:val="both"/>
        <w:rPr>
          <w:rFonts w:ascii="Arial" w:eastAsia="Times New Roman" w:hAnsi="Arial" w:cs="Arial"/>
          <w:lang w:eastAsia="cs-CZ"/>
        </w:rPr>
      </w:pPr>
      <w:r w:rsidRPr="00382816">
        <w:rPr>
          <w:rFonts w:ascii="Arial" w:eastAsia="Times New Roman" w:hAnsi="Arial" w:cs="Arial"/>
          <w:lang w:eastAsia="cs-CZ"/>
        </w:rPr>
        <w:t xml:space="preserve">Z hlediska nákladů přináší změna ustanovení § 16 odst. 2, která snižuje se četnost zvýšení základní úhrady ve veřejném zájmu, a změna ustanovení § 40 odst. 1 a 2, která snižuje počet kritérií pro získání statusu vysoce inovativního léčivého přípravku, nižší náklady pro </w:t>
      </w:r>
      <w:r w:rsidR="003B4A52">
        <w:rPr>
          <w:rFonts w:ascii="Arial" w:eastAsia="Times New Roman" w:hAnsi="Arial" w:cs="Arial"/>
          <w:lang w:eastAsia="cs-CZ"/>
        </w:rPr>
        <w:t xml:space="preserve">systém </w:t>
      </w:r>
      <w:r w:rsidRPr="00382816">
        <w:rPr>
          <w:rFonts w:ascii="Arial" w:eastAsia="Times New Roman" w:hAnsi="Arial" w:cs="Arial"/>
          <w:lang w:eastAsia="cs-CZ"/>
        </w:rPr>
        <w:t xml:space="preserve">veřejného zdravotního pojištění. </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spacing w:after="0" w:line="300" w:lineRule="exact"/>
        <w:ind w:left="360"/>
        <w:jc w:val="both"/>
        <w:rPr>
          <w:rFonts w:ascii="Arial" w:eastAsia="Times New Roman" w:hAnsi="Arial" w:cs="Arial"/>
          <w:lang w:eastAsia="cs-CZ"/>
        </w:rPr>
      </w:pPr>
      <w:r w:rsidRPr="00382816">
        <w:rPr>
          <w:rFonts w:ascii="Arial" w:eastAsia="Times New Roman" w:hAnsi="Arial" w:cs="Arial"/>
          <w:lang w:eastAsia="cs-CZ"/>
        </w:rPr>
        <w:t>Dopad z hlediska nákladů, pokud jde o změnu v podobě nahrazení slova „snížení úmrtnosti pacientů“ statisticky přesnějším pojmem „prodloužení celkové doby přežití“ a dále doplnění struktury klinických hodnocení o zdravotně-ekonomické modely lze spíše považovat zanedbatelný.</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spacing w:after="0" w:line="300" w:lineRule="exact"/>
        <w:ind w:left="360"/>
        <w:jc w:val="both"/>
        <w:rPr>
          <w:rFonts w:ascii="Arial" w:eastAsia="Times New Roman" w:hAnsi="Arial" w:cs="Arial"/>
          <w:lang w:eastAsia="cs-CZ"/>
        </w:rPr>
      </w:pPr>
      <w:r w:rsidRPr="00382816">
        <w:rPr>
          <w:rFonts w:ascii="Arial" w:eastAsia="Times New Roman" w:hAnsi="Arial" w:cs="Arial"/>
          <w:lang w:eastAsia="cs-CZ"/>
        </w:rPr>
        <w:t xml:space="preserve">Vnesení možnosti upravení sankce do smlouvy o limitaci nákladů/sdílení rizik při jejím nedodržení, by mohlo přinést zvýšené náklady v případě porušení smlouvy. </w:t>
      </w:r>
    </w:p>
    <w:p w:rsidR="00382816" w:rsidRPr="00382816" w:rsidRDefault="00382816" w:rsidP="00382816">
      <w:pPr>
        <w:spacing w:after="0" w:line="300" w:lineRule="exact"/>
        <w:jc w:val="both"/>
        <w:rPr>
          <w:rFonts w:ascii="Arial" w:eastAsia="Times New Roman" w:hAnsi="Arial" w:cs="Arial"/>
          <w:lang w:eastAsia="cs-CZ"/>
        </w:rPr>
      </w:pPr>
    </w:p>
    <w:p w:rsidR="00382816" w:rsidRPr="00382816" w:rsidRDefault="00382816" w:rsidP="00382816">
      <w:pPr>
        <w:spacing w:after="0" w:line="300" w:lineRule="exact"/>
        <w:ind w:left="360"/>
        <w:jc w:val="both"/>
        <w:rPr>
          <w:rFonts w:ascii="Arial" w:eastAsia="Times New Roman" w:hAnsi="Arial" w:cs="Arial"/>
          <w:b/>
          <w:lang w:eastAsia="cs-CZ"/>
        </w:rPr>
      </w:pPr>
      <w:r w:rsidRPr="00382816">
        <w:rPr>
          <w:rFonts w:ascii="Arial" w:eastAsia="Times New Roman" w:hAnsi="Arial" w:cs="Arial"/>
          <w:b/>
          <w:lang w:eastAsia="cs-CZ"/>
        </w:rPr>
        <w:t>Přínosy</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spacing w:after="0" w:line="300" w:lineRule="exact"/>
        <w:ind w:left="360"/>
        <w:jc w:val="both"/>
        <w:rPr>
          <w:rFonts w:ascii="Arial" w:eastAsia="Times New Roman" w:hAnsi="Arial" w:cs="Arial"/>
          <w:lang w:eastAsia="cs-CZ"/>
        </w:rPr>
      </w:pPr>
      <w:r w:rsidRPr="00382816">
        <w:rPr>
          <w:rFonts w:ascii="Arial" w:eastAsia="Times New Roman" w:hAnsi="Arial" w:cs="Arial"/>
          <w:lang w:eastAsia="cs-CZ"/>
        </w:rPr>
        <w:t>Změna hodnoty v pravidle pro výpočet maximální ceny je matematickou úpravou, kde provedení odečtu vždy znamená ve výsledku nižší hodnotu. Navržená novelizace § 7 povede ke stanovení maximálních cen na nižší úrovni.</w:t>
      </w:r>
    </w:p>
    <w:p w:rsidR="00382816" w:rsidRPr="00382816" w:rsidRDefault="00382816" w:rsidP="00382816">
      <w:pPr>
        <w:spacing w:after="0" w:line="300" w:lineRule="exact"/>
        <w:jc w:val="both"/>
        <w:rPr>
          <w:rFonts w:ascii="Arial" w:eastAsia="Times New Roman" w:hAnsi="Arial" w:cs="Arial"/>
          <w:lang w:eastAsia="cs-CZ"/>
        </w:rPr>
      </w:pPr>
    </w:p>
    <w:p w:rsidR="00382816" w:rsidRPr="00382816" w:rsidRDefault="00382816" w:rsidP="00382816">
      <w:pPr>
        <w:spacing w:after="0" w:line="300" w:lineRule="exact"/>
        <w:ind w:left="360"/>
        <w:jc w:val="both"/>
        <w:rPr>
          <w:rFonts w:ascii="Arial" w:eastAsia="Times New Roman" w:hAnsi="Arial" w:cs="Arial"/>
          <w:lang w:eastAsia="cs-CZ"/>
        </w:rPr>
      </w:pPr>
      <w:r w:rsidRPr="00382816">
        <w:rPr>
          <w:rFonts w:ascii="Arial" w:eastAsia="Times New Roman" w:hAnsi="Arial" w:cs="Arial"/>
          <w:lang w:eastAsia="cs-CZ"/>
        </w:rPr>
        <w:t xml:space="preserve">Změna hodnoty v pravidlech pro zvýšení základní úhrady ve veřejném zájmu byla analyzována na okruhu správních řízení, která byla zahájena od roku 2014 do současnosti a nabyla právní moci. Novelizace by znamenala, že by navýšení nebylo provedeno zhruba ve 27 % případů, ve </w:t>
      </w:r>
      <w:r w:rsidRPr="00382816">
        <w:rPr>
          <w:rFonts w:ascii="Arial" w:eastAsia="Times New Roman" w:hAnsi="Arial" w:cs="Arial"/>
          <w:lang w:eastAsia="cs-CZ"/>
        </w:rPr>
        <w:lastRenderedPageBreak/>
        <w:t xml:space="preserve">kterých jinak navýšení provedeno bylo. To by představovalo úsporu výdajů přibližně ve výši 171 000 000,- Kč (za cca 3 roky). </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spacing w:after="0" w:line="300" w:lineRule="exact"/>
        <w:ind w:left="360"/>
        <w:jc w:val="both"/>
        <w:rPr>
          <w:rFonts w:ascii="Arial" w:eastAsia="Times New Roman" w:hAnsi="Arial" w:cs="Arial"/>
          <w:lang w:eastAsia="cs-CZ"/>
        </w:rPr>
      </w:pPr>
      <w:r w:rsidRPr="00382816">
        <w:rPr>
          <w:rFonts w:ascii="Arial" w:eastAsia="Times New Roman" w:hAnsi="Arial" w:cs="Arial"/>
          <w:lang w:eastAsia="cs-CZ"/>
        </w:rPr>
        <w:t xml:space="preserve">Přínos novelizace právní úpravy vysoce inovativních přípravků byl posouzen oproti statistickým údajům z minulosti. Navrhovaná změna má pozitivní přínos na rozpočet veřejného zdravotního pojištění, který je však dopředu obtížně analyzovatelný, neboť systém cen a úhrad léčivých přípravků a potravin pro zvláštní lékařské účely finančně ovlivňují i </w:t>
      </w:r>
      <w:proofErr w:type="spellStart"/>
      <w:r w:rsidRPr="00382816">
        <w:rPr>
          <w:rFonts w:ascii="Arial" w:eastAsia="Times New Roman" w:hAnsi="Arial" w:cs="Arial"/>
          <w:lang w:eastAsia="cs-CZ"/>
        </w:rPr>
        <w:t>nepredikovatelné</w:t>
      </w:r>
      <w:proofErr w:type="spellEnd"/>
      <w:r w:rsidRPr="00382816">
        <w:rPr>
          <w:rFonts w:ascii="Arial" w:eastAsia="Times New Roman" w:hAnsi="Arial" w:cs="Arial"/>
          <w:lang w:eastAsia="cs-CZ"/>
        </w:rPr>
        <w:t xml:space="preserve"> individuální cenové nebo risk-</w:t>
      </w:r>
      <w:proofErr w:type="spellStart"/>
      <w:r w:rsidRPr="00382816">
        <w:rPr>
          <w:rFonts w:ascii="Arial" w:eastAsia="Times New Roman" w:hAnsi="Arial" w:cs="Arial"/>
          <w:lang w:eastAsia="cs-CZ"/>
        </w:rPr>
        <w:t>sharingové</w:t>
      </w:r>
      <w:proofErr w:type="spellEnd"/>
      <w:r w:rsidRPr="00382816">
        <w:rPr>
          <w:rFonts w:ascii="Arial" w:eastAsia="Times New Roman" w:hAnsi="Arial" w:cs="Arial"/>
          <w:lang w:eastAsia="cs-CZ"/>
        </w:rPr>
        <w:t xml:space="preserve"> dohody držitelů rozhodnutí o registraci a zdravotních p</w:t>
      </w:r>
      <w:r w:rsidR="00FC2A75">
        <w:rPr>
          <w:rFonts w:ascii="Arial" w:eastAsia="Times New Roman" w:hAnsi="Arial" w:cs="Arial"/>
          <w:lang w:eastAsia="cs-CZ"/>
        </w:rPr>
        <w:t>ojišťoven</w:t>
      </w:r>
      <w:r w:rsidRPr="00382816">
        <w:rPr>
          <w:rFonts w:ascii="Arial" w:eastAsia="Times New Roman" w:hAnsi="Arial" w:cs="Arial"/>
          <w:lang w:eastAsia="cs-CZ"/>
        </w:rPr>
        <w:t>. Předpoklad úspory oproti nákladům za první tři kvartály roku 2016 je při fiktivní aplikaci nového kvalitativního hodnocení retrospektivně na aktuálně stanovené úhrady při maximalistické variantě 1 750 067 931,- Kč.</w:t>
      </w:r>
      <w:r w:rsidRPr="00382816">
        <w:rPr>
          <w:rFonts w:ascii="Times New Roman" w:eastAsia="Times New Roman" w:hAnsi="Times New Roman" w:cs="Times New Roman"/>
          <w:sz w:val="24"/>
          <w:szCs w:val="24"/>
          <w:lang w:eastAsia="cs-CZ"/>
        </w:rPr>
        <w:t xml:space="preserve"> </w:t>
      </w:r>
      <w:r w:rsidRPr="00382816">
        <w:rPr>
          <w:rFonts w:ascii="Arial" w:eastAsia="Times New Roman" w:hAnsi="Arial" w:cs="Arial"/>
          <w:lang w:eastAsia="cs-CZ"/>
        </w:rPr>
        <w:t>Novela neznamená zabránění vstupu inovativních přípravků do systému úhrad, neboť léčivé přípravky mohou vstoupit do systému cen a úhrad standardními mechanismy jako ostatní běžné léčivé přípravky, pokud splní podmínky přiznání úhrady. Lze očekávat, že uvedený odhadovaný přínos bude nižší.</w:t>
      </w:r>
    </w:p>
    <w:p w:rsidR="00382816" w:rsidRPr="00382816" w:rsidRDefault="00382816" w:rsidP="00382816">
      <w:pPr>
        <w:spacing w:after="0" w:line="300" w:lineRule="exact"/>
        <w:jc w:val="both"/>
        <w:rPr>
          <w:rFonts w:ascii="Arial" w:eastAsia="Times New Roman" w:hAnsi="Arial" w:cs="Arial"/>
          <w:lang w:eastAsia="cs-CZ"/>
        </w:rPr>
      </w:pPr>
    </w:p>
    <w:p w:rsidR="00382816" w:rsidRPr="00382816" w:rsidRDefault="00382816" w:rsidP="00382816">
      <w:pPr>
        <w:numPr>
          <w:ilvl w:val="0"/>
          <w:numId w:val="28"/>
        </w:numPr>
        <w:spacing w:after="0" w:line="300" w:lineRule="exact"/>
        <w:ind w:left="426"/>
        <w:contextualSpacing/>
        <w:jc w:val="both"/>
        <w:rPr>
          <w:rFonts w:ascii="Arial" w:eastAsia="Times New Roman" w:hAnsi="Arial" w:cs="Arial"/>
          <w:b/>
          <w:lang w:eastAsia="cs-CZ"/>
        </w:rPr>
      </w:pPr>
      <w:r w:rsidRPr="00382816">
        <w:rPr>
          <w:rFonts w:ascii="Arial" w:eastAsia="Times New Roman" w:hAnsi="Arial" w:cs="Arial"/>
          <w:b/>
          <w:lang w:eastAsia="cs-CZ"/>
        </w:rPr>
        <w:t>Stanovení pořadí variant a výběr nejvhodnějšího řešení</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spacing w:after="0" w:line="300" w:lineRule="exact"/>
        <w:ind w:left="360"/>
        <w:jc w:val="both"/>
        <w:rPr>
          <w:rFonts w:ascii="Arial" w:eastAsia="Times New Roman" w:hAnsi="Arial" w:cs="Arial"/>
          <w:lang w:eastAsia="cs-CZ"/>
        </w:rPr>
      </w:pPr>
      <w:r w:rsidRPr="00382816">
        <w:rPr>
          <w:rFonts w:ascii="Arial" w:eastAsia="Times New Roman" w:hAnsi="Arial" w:cs="Arial"/>
          <w:lang w:eastAsia="cs-CZ"/>
        </w:rPr>
        <w:t xml:space="preserve">Z hodnocení vyplývá, že provedením legislativní změny úpravou současně platné vyhlášky č. 376/2011 Sb. lze dosáhnout </w:t>
      </w:r>
      <w:r w:rsidR="00FC2A75">
        <w:rPr>
          <w:rFonts w:ascii="Arial" w:eastAsia="Times New Roman" w:hAnsi="Arial" w:cs="Arial"/>
          <w:lang w:eastAsia="cs-CZ"/>
        </w:rPr>
        <w:t>nejméně</w:t>
      </w:r>
      <w:r w:rsidRPr="00382816">
        <w:rPr>
          <w:rFonts w:ascii="Arial" w:eastAsia="Times New Roman" w:hAnsi="Arial" w:cs="Arial"/>
          <w:lang w:eastAsia="cs-CZ"/>
        </w:rPr>
        <w:t xml:space="preserve"> snížení nárůstu výdajů z prostředků veřejného zdravotního pojištění na vysoce inovativní léčivé přípravky. Z tohoto důvodu byla jako vhodná vybrána varianta úpravy.</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numPr>
          <w:ilvl w:val="0"/>
          <w:numId w:val="28"/>
        </w:numPr>
        <w:spacing w:after="0" w:line="300" w:lineRule="exact"/>
        <w:ind w:left="426"/>
        <w:contextualSpacing/>
        <w:jc w:val="both"/>
        <w:rPr>
          <w:rFonts w:ascii="Arial" w:eastAsia="Times New Roman" w:hAnsi="Arial" w:cs="Arial"/>
          <w:b/>
          <w:lang w:eastAsia="cs-CZ"/>
        </w:rPr>
      </w:pPr>
      <w:r w:rsidRPr="00382816">
        <w:rPr>
          <w:rFonts w:ascii="Arial" w:eastAsia="Times New Roman" w:hAnsi="Arial" w:cs="Arial"/>
          <w:b/>
          <w:lang w:eastAsia="cs-CZ"/>
        </w:rPr>
        <w:t>Implementace doporučené varianty a vynucování</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spacing w:after="0" w:line="300" w:lineRule="exact"/>
        <w:ind w:left="360"/>
        <w:jc w:val="both"/>
        <w:rPr>
          <w:rFonts w:ascii="Arial" w:eastAsia="Times New Roman" w:hAnsi="Arial" w:cs="Arial"/>
          <w:lang w:eastAsia="cs-CZ"/>
        </w:rPr>
      </w:pPr>
      <w:r w:rsidRPr="00382816">
        <w:rPr>
          <w:rFonts w:ascii="Arial" w:eastAsia="Times New Roman" w:hAnsi="Arial" w:cs="Arial"/>
          <w:lang w:eastAsia="cs-CZ"/>
        </w:rPr>
        <w:t>Změněná ustanovení vyhlášky č. 376/2011 Sb. budou aplikovat ve správních řízeních Státní ústav pro kontrolu léčiv a v odvolacím správním řízení Ministerstvo zdravotnictví. Kontrolu vyúčtování hrazených služeb u poskytovatelů zdravotní péče provádí zdravotní pojišťovny. Kontrola v oblasti stanovení cen náleží do kompetence Státního ústavu pro kontrolu léčiv.</w:t>
      </w:r>
      <w:r w:rsidRPr="00382816">
        <w:rPr>
          <w:rFonts w:ascii="Times New Roman" w:eastAsia="Times New Roman" w:hAnsi="Times New Roman" w:cs="Times New Roman"/>
          <w:sz w:val="24"/>
          <w:szCs w:val="24"/>
          <w:lang w:eastAsia="cs-CZ"/>
        </w:rPr>
        <w:t xml:space="preserve"> </w:t>
      </w:r>
      <w:r w:rsidRPr="00382816">
        <w:rPr>
          <w:rFonts w:ascii="Arial" w:eastAsia="Times New Roman" w:hAnsi="Arial" w:cs="Arial"/>
          <w:lang w:eastAsia="cs-CZ"/>
        </w:rPr>
        <w:t>Pro realizaci navrhované právní úpravy se počítá s využitím stávající struktury organizace a personálního, věcného a finančního zajištění, které vzhledem k povaze návrhu novely vyhlášky nedoznávají změn.</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numPr>
          <w:ilvl w:val="0"/>
          <w:numId w:val="28"/>
        </w:numPr>
        <w:spacing w:after="0" w:line="300" w:lineRule="exact"/>
        <w:ind w:left="426"/>
        <w:contextualSpacing/>
        <w:jc w:val="both"/>
        <w:rPr>
          <w:rFonts w:ascii="Arial" w:eastAsia="Times New Roman" w:hAnsi="Arial" w:cs="Arial"/>
          <w:b/>
          <w:lang w:eastAsia="cs-CZ"/>
        </w:rPr>
      </w:pPr>
      <w:r w:rsidRPr="00382816">
        <w:rPr>
          <w:rFonts w:ascii="Arial" w:eastAsia="Times New Roman" w:hAnsi="Arial" w:cs="Arial"/>
          <w:b/>
          <w:lang w:eastAsia="cs-CZ"/>
        </w:rPr>
        <w:t>Přezkum účinnosti regulace</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spacing w:after="0" w:line="300" w:lineRule="exact"/>
        <w:ind w:left="360"/>
        <w:jc w:val="both"/>
        <w:rPr>
          <w:rFonts w:ascii="Arial" w:eastAsia="Times New Roman" w:hAnsi="Arial" w:cs="Arial"/>
          <w:lang w:eastAsia="cs-CZ"/>
        </w:rPr>
      </w:pPr>
      <w:r w:rsidRPr="00382816">
        <w:rPr>
          <w:rFonts w:ascii="Arial" w:eastAsia="Times New Roman" w:hAnsi="Arial" w:cs="Arial"/>
          <w:lang w:eastAsia="cs-CZ"/>
        </w:rPr>
        <w:t>Výdaje z prostředků veřejného zdravotního pojištění jsou pravidelně vyhodnocovány zdravotními pojišťovnami a Ústavem zdravotnických informací a statistiky České republiky.</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numPr>
          <w:ilvl w:val="0"/>
          <w:numId w:val="28"/>
        </w:numPr>
        <w:spacing w:after="0" w:line="300" w:lineRule="exact"/>
        <w:ind w:left="426"/>
        <w:contextualSpacing/>
        <w:jc w:val="both"/>
        <w:rPr>
          <w:rFonts w:ascii="Arial" w:eastAsia="Times New Roman" w:hAnsi="Arial" w:cs="Arial"/>
          <w:b/>
          <w:lang w:eastAsia="cs-CZ"/>
        </w:rPr>
      </w:pPr>
      <w:r w:rsidRPr="00382816">
        <w:rPr>
          <w:rFonts w:ascii="Arial" w:eastAsia="Times New Roman" w:hAnsi="Arial" w:cs="Arial"/>
          <w:b/>
          <w:lang w:eastAsia="cs-CZ"/>
        </w:rPr>
        <w:t>Konzultace a zdroje dat</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spacing w:after="0" w:line="300" w:lineRule="exact"/>
        <w:ind w:left="360"/>
        <w:jc w:val="both"/>
        <w:rPr>
          <w:rFonts w:ascii="Arial" w:eastAsia="Times New Roman" w:hAnsi="Arial" w:cs="Arial"/>
          <w:lang w:eastAsia="cs-CZ"/>
        </w:rPr>
      </w:pPr>
      <w:r w:rsidRPr="00382816">
        <w:rPr>
          <w:rFonts w:ascii="Arial" w:eastAsia="Times New Roman" w:hAnsi="Arial" w:cs="Arial"/>
          <w:lang w:eastAsia="cs-CZ"/>
        </w:rPr>
        <w:t xml:space="preserve">Návrh textu novely vyhlášky byl v průběhu přípravy konzultován se Státním ústavem pro kontrolu léčiv, Všeobecnou zdravotní pojišťovnou, Svazem zdravotních pojišťoven ČR a Ústavem zdravotnických informací a statistiky České republiky. </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numPr>
          <w:ilvl w:val="0"/>
          <w:numId w:val="28"/>
        </w:numPr>
        <w:spacing w:after="0" w:line="300" w:lineRule="exact"/>
        <w:ind w:left="426"/>
        <w:contextualSpacing/>
        <w:jc w:val="both"/>
        <w:rPr>
          <w:rFonts w:ascii="Arial" w:eastAsia="Times New Roman" w:hAnsi="Arial" w:cs="Arial"/>
          <w:b/>
          <w:lang w:eastAsia="cs-CZ"/>
        </w:rPr>
      </w:pPr>
      <w:r w:rsidRPr="00382816">
        <w:rPr>
          <w:rFonts w:ascii="Arial" w:eastAsia="Times New Roman" w:hAnsi="Arial" w:cs="Arial"/>
          <w:b/>
          <w:lang w:eastAsia="cs-CZ"/>
        </w:rPr>
        <w:t>Kontakt na zpracovatele RIA</w:t>
      </w:r>
    </w:p>
    <w:p w:rsidR="00382816" w:rsidRPr="00382816" w:rsidRDefault="00382816" w:rsidP="00382816">
      <w:pPr>
        <w:spacing w:after="0" w:line="300" w:lineRule="exact"/>
        <w:jc w:val="both"/>
        <w:rPr>
          <w:rFonts w:ascii="Arial" w:eastAsia="Times New Roman" w:hAnsi="Arial" w:cs="Arial"/>
          <w:lang w:eastAsia="cs-CZ"/>
        </w:rPr>
      </w:pP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spacing w:after="0" w:line="300" w:lineRule="exact"/>
        <w:ind w:left="360"/>
        <w:jc w:val="both"/>
        <w:rPr>
          <w:rFonts w:ascii="Arial" w:eastAsia="Times New Roman" w:hAnsi="Arial" w:cs="Arial"/>
          <w:lang w:eastAsia="cs-CZ"/>
        </w:rPr>
      </w:pPr>
      <w:r w:rsidRPr="00382816">
        <w:rPr>
          <w:rFonts w:ascii="Arial" w:eastAsia="Times New Roman" w:hAnsi="Arial" w:cs="Arial"/>
          <w:lang w:eastAsia="cs-CZ"/>
        </w:rPr>
        <w:t>MUDr. Mgr. Michal Synek</w:t>
      </w:r>
    </w:p>
    <w:p w:rsidR="00382816" w:rsidRPr="00382816" w:rsidRDefault="00382816" w:rsidP="00382816">
      <w:pPr>
        <w:spacing w:after="0" w:line="300" w:lineRule="exact"/>
        <w:ind w:left="360"/>
        <w:jc w:val="both"/>
        <w:rPr>
          <w:rFonts w:ascii="Arial" w:eastAsia="Times New Roman" w:hAnsi="Arial" w:cs="Arial"/>
          <w:lang w:eastAsia="cs-CZ"/>
        </w:rPr>
      </w:pPr>
      <w:r w:rsidRPr="00382816">
        <w:rPr>
          <w:rFonts w:ascii="Arial" w:eastAsia="Times New Roman" w:hAnsi="Arial" w:cs="Arial"/>
          <w:lang w:eastAsia="cs-CZ"/>
        </w:rPr>
        <w:t>vedoucí oddělení regulace cen</w:t>
      </w:r>
      <w:r w:rsidR="008F077F">
        <w:rPr>
          <w:rFonts w:ascii="Arial" w:eastAsia="Times New Roman" w:hAnsi="Arial" w:cs="Arial"/>
          <w:lang w:eastAsia="cs-CZ"/>
        </w:rPr>
        <w:t xml:space="preserve"> </w:t>
      </w:r>
      <w:r w:rsidRPr="00382816">
        <w:rPr>
          <w:rFonts w:ascii="Arial" w:eastAsia="Times New Roman" w:hAnsi="Arial" w:cs="Arial"/>
          <w:lang w:eastAsia="cs-CZ"/>
        </w:rPr>
        <w:t>a úhrad</w:t>
      </w:r>
    </w:p>
    <w:p w:rsidR="00382816" w:rsidRPr="00382816" w:rsidRDefault="00382816" w:rsidP="00382816">
      <w:pPr>
        <w:spacing w:after="0" w:line="300" w:lineRule="exact"/>
        <w:ind w:left="360"/>
        <w:jc w:val="both"/>
        <w:rPr>
          <w:rFonts w:ascii="Arial" w:eastAsia="Times New Roman" w:hAnsi="Arial" w:cs="Arial"/>
          <w:lang w:eastAsia="cs-CZ"/>
        </w:rPr>
      </w:pPr>
      <w:r w:rsidRPr="00382816">
        <w:rPr>
          <w:rFonts w:ascii="Arial" w:eastAsia="Times New Roman" w:hAnsi="Arial" w:cs="Arial"/>
          <w:lang w:eastAsia="cs-CZ"/>
        </w:rPr>
        <w:t>odbor farmacie</w:t>
      </w:r>
    </w:p>
    <w:p w:rsidR="00382816" w:rsidRPr="00382816" w:rsidRDefault="00382816" w:rsidP="00382816">
      <w:pPr>
        <w:spacing w:after="0" w:line="300" w:lineRule="exact"/>
        <w:ind w:left="360"/>
        <w:jc w:val="both"/>
        <w:rPr>
          <w:rFonts w:ascii="Arial" w:eastAsia="Times New Roman" w:hAnsi="Arial" w:cs="Arial"/>
          <w:lang w:eastAsia="cs-CZ"/>
        </w:rPr>
      </w:pPr>
      <w:r w:rsidRPr="00382816">
        <w:rPr>
          <w:rFonts w:ascii="Arial" w:eastAsia="Times New Roman" w:hAnsi="Arial" w:cs="Arial"/>
          <w:lang w:eastAsia="cs-CZ"/>
        </w:rPr>
        <w:t>Ministerstvo zdravotnictví ČR</w:t>
      </w:r>
    </w:p>
    <w:p w:rsidR="00382816" w:rsidRPr="00382816" w:rsidRDefault="00382816" w:rsidP="00382816">
      <w:pPr>
        <w:spacing w:after="0" w:line="300" w:lineRule="exact"/>
        <w:ind w:left="360"/>
        <w:jc w:val="both"/>
        <w:rPr>
          <w:rFonts w:ascii="Arial" w:eastAsia="Times New Roman" w:hAnsi="Arial" w:cs="Arial"/>
          <w:lang w:eastAsia="cs-CZ"/>
        </w:rPr>
      </w:pPr>
      <w:r w:rsidRPr="00382816">
        <w:rPr>
          <w:rFonts w:ascii="Arial" w:eastAsia="Times New Roman" w:hAnsi="Arial" w:cs="Arial"/>
          <w:lang w:eastAsia="cs-CZ"/>
        </w:rPr>
        <w:t>tel: 224 972 472</w:t>
      </w:r>
    </w:p>
    <w:p w:rsidR="00382816" w:rsidRPr="00382816" w:rsidRDefault="00382816" w:rsidP="00382816">
      <w:pPr>
        <w:spacing w:after="0" w:line="300" w:lineRule="exact"/>
        <w:ind w:left="360"/>
        <w:jc w:val="both"/>
        <w:rPr>
          <w:rFonts w:ascii="Arial" w:eastAsia="Times New Roman" w:hAnsi="Arial" w:cs="Arial"/>
          <w:lang w:eastAsia="cs-CZ"/>
        </w:rPr>
      </w:pPr>
      <w:r w:rsidRPr="00382816">
        <w:rPr>
          <w:rFonts w:ascii="Arial" w:eastAsia="Times New Roman" w:hAnsi="Arial" w:cs="Arial"/>
          <w:lang w:eastAsia="cs-CZ"/>
        </w:rPr>
        <w:t>e-mail: michal.synek@mzcr.cz</w:t>
      </w:r>
    </w:p>
    <w:p w:rsidR="00382816" w:rsidRPr="00382816" w:rsidRDefault="00382816" w:rsidP="00382816">
      <w:pPr>
        <w:spacing w:after="0" w:line="300" w:lineRule="exact"/>
        <w:ind w:left="360"/>
        <w:jc w:val="both"/>
        <w:rPr>
          <w:rFonts w:ascii="Arial" w:eastAsia="Times New Roman" w:hAnsi="Arial" w:cs="Arial"/>
          <w:lang w:eastAsia="cs-CZ"/>
        </w:rPr>
      </w:pPr>
    </w:p>
    <w:p w:rsidR="00382816" w:rsidRPr="00382816" w:rsidRDefault="00382816" w:rsidP="00382816">
      <w:pPr>
        <w:spacing w:after="0" w:line="300" w:lineRule="exact"/>
        <w:ind w:left="360"/>
        <w:jc w:val="both"/>
        <w:rPr>
          <w:rFonts w:ascii="Arial" w:eastAsia="Times New Roman" w:hAnsi="Arial" w:cs="Arial"/>
          <w:lang w:eastAsia="cs-CZ"/>
        </w:rPr>
      </w:pPr>
    </w:p>
    <w:p w:rsidR="00382816" w:rsidRDefault="00382816" w:rsidP="006A610A">
      <w:pPr>
        <w:widowControl w:val="0"/>
        <w:autoSpaceDE w:val="0"/>
        <w:autoSpaceDN w:val="0"/>
        <w:adjustRightInd w:val="0"/>
        <w:spacing w:after="0" w:line="240" w:lineRule="auto"/>
        <w:rPr>
          <w:rFonts w:ascii="Arial" w:eastAsia="Times New Roman" w:hAnsi="Arial" w:cs="Arial"/>
          <w:lang w:eastAsia="cs-CZ"/>
        </w:rPr>
      </w:pPr>
    </w:p>
    <w:p w:rsidR="00382816" w:rsidRDefault="00382816" w:rsidP="006A610A">
      <w:pPr>
        <w:widowControl w:val="0"/>
        <w:autoSpaceDE w:val="0"/>
        <w:autoSpaceDN w:val="0"/>
        <w:adjustRightInd w:val="0"/>
        <w:spacing w:after="0" w:line="240" w:lineRule="auto"/>
        <w:rPr>
          <w:rFonts w:ascii="Arial" w:eastAsia="Times New Roman" w:hAnsi="Arial" w:cs="Arial"/>
          <w:lang w:eastAsia="cs-CZ"/>
        </w:rPr>
      </w:pPr>
    </w:p>
    <w:p w:rsidR="00382816" w:rsidRDefault="00382816" w:rsidP="006A610A">
      <w:pPr>
        <w:widowControl w:val="0"/>
        <w:autoSpaceDE w:val="0"/>
        <w:autoSpaceDN w:val="0"/>
        <w:adjustRightInd w:val="0"/>
        <w:spacing w:after="0" w:line="240" w:lineRule="auto"/>
        <w:rPr>
          <w:rFonts w:ascii="Arial" w:eastAsia="Times New Roman" w:hAnsi="Arial" w:cs="Arial"/>
          <w:lang w:eastAsia="cs-CZ"/>
        </w:rPr>
      </w:pPr>
    </w:p>
    <w:p w:rsidR="00A6165A" w:rsidRDefault="00A6165A" w:rsidP="006A610A">
      <w:pPr>
        <w:widowControl w:val="0"/>
        <w:autoSpaceDE w:val="0"/>
        <w:autoSpaceDN w:val="0"/>
        <w:adjustRightInd w:val="0"/>
        <w:spacing w:after="0" w:line="240" w:lineRule="auto"/>
        <w:rPr>
          <w:rFonts w:ascii="Arial" w:eastAsia="Times New Roman" w:hAnsi="Arial" w:cs="Arial"/>
          <w:lang w:eastAsia="cs-CZ"/>
        </w:rPr>
      </w:pPr>
    </w:p>
    <w:p w:rsidR="00A6165A" w:rsidRDefault="00A6165A" w:rsidP="006A610A">
      <w:pPr>
        <w:widowControl w:val="0"/>
        <w:autoSpaceDE w:val="0"/>
        <w:autoSpaceDN w:val="0"/>
        <w:adjustRightInd w:val="0"/>
        <w:spacing w:after="0" w:line="240" w:lineRule="auto"/>
        <w:rPr>
          <w:rFonts w:ascii="Arial" w:eastAsia="Times New Roman" w:hAnsi="Arial" w:cs="Arial"/>
          <w:lang w:eastAsia="cs-CZ"/>
        </w:rPr>
      </w:pPr>
    </w:p>
    <w:p w:rsidR="00A6165A" w:rsidRDefault="00A6165A" w:rsidP="006A610A">
      <w:pPr>
        <w:widowControl w:val="0"/>
        <w:autoSpaceDE w:val="0"/>
        <w:autoSpaceDN w:val="0"/>
        <w:adjustRightInd w:val="0"/>
        <w:spacing w:after="0" w:line="240" w:lineRule="auto"/>
        <w:rPr>
          <w:rFonts w:ascii="Arial" w:eastAsia="Times New Roman" w:hAnsi="Arial" w:cs="Arial"/>
          <w:lang w:eastAsia="cs-CZ"/>
        </w:rPr>
      </w:pPr>
    </w:p>
    <w:p w:rsidR="00A6165A" w:rsidRDefault="00A6165A" w:rsidP="006A610A">
      <w:pPr>
        <w:widowControl w:val="0"/>
        <w:autoSpaceDE w:val="0"/>
        <w:autoSpaceDN w:val="0"/>
        <w:adjustRightInd w:val="0"/>
        <w:spacing w:after="0" w:line="240" w:lineRule="auto"/>
        <w:rPr>
          <w:rFonts w:ascii="Arial" w:eastAsia="Times New Roman" w:hAnsi="Arial" w:cs="Arial"/>
          <w:lang w:eastAsia="cs-CZ"/>
        </w:rPr>
      </w:pPr>
    </w:p>
    <w:p w:rsidR="00A6165A" w:rsidRDefault="00A6165A" w:rsidP="006A610A">
      <w:pPr>
        <w:widowControl w:val="0"/>
        <w:autoSpaceDE w:val="0"/>
        <w:autoSpaceDN w:val="0"/>
        <w:adjustRightInd w:val="0"/>
        <w:spacing w:after="0" w:line="240" w:lineRule="auto"/>
        <w:rPr>
          <w:rFonts w:ascii="Arial" w:eastAsia="Times New Roman" w:hAnsi="Arial" w:cs="Arial"/>
          <w:lang w:eastAsia="cs-CZ"/>
        </w:rPr>
      </w:pPr>
    </w:p>
    <w:p w:rsidR="00A6165A" w:rsidRDefault="00A6165A" w:rsidP="006A610A">
      <w:pPr>
        <w:widowControl w:val="0"/>
        <w:autoSpaceDE w:val="0"/>
        <w:autoSpaceDN w:val="0"/>
        <w:adjustRightInd w:val="0"/>
        <w:spacing w:after="0" w:line="240" w:lineRule="auto"/>
        <w:rPr>
          <w:rFonts w:ascii="Arial" w:eastAsia="Times New Roman" w:hAnsi="Arial" w:cs="Arial"/>
          <w:lang w:eastAsia="cs-CZ"/>
        </w:rPr>
      </w:pPr>
    </w:p>
    <w:sectPr w:rsidR="00A6165A" w:rsidSect="0049457A">
      <w:headerReference w:type="default" r:id="rId12"/>
      <w:footerReference w:type="default" r:id="rId13"/>
      <w:pgSz w:w="11906" w:h="16838" w:code="9"/>
      <w:pgMar w:top="1389" w:right="1133" w:bottom="2268" w:left="1134" w:header="107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142" w:rsidRDefault="00454142" w:rsidP="00EA7E2C">
      <w:pPr>
        <w:spacing w:after="0" w:line="240" w:lineRule="auto"/>
      </w:pPr>
      <w:r>
        <w:separator/>
      </w:r>
    </w:p>
  </w:endnote>
  <w:endnote w:type="continuationSeparator" w:id="0">
    <w:p w:rsidR="00454142" w:rsidRDefault="00454142" w:rsidP="00EA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309420"/>
      <w:docPartObj>
        <w:docPartGallery w:val="Page Numbers (Bottom of Page)"/>
        <w:docPartUnique/>
      </w:docPartObj>
    </w:sdtPr>
    <w:sdtEndPr/>
    <w:sdtContent>
      <w:p w:rsidR="00454142" w:rsidRDefault="00454142">
        <w:pPr>
          <w:pStyle w:val="Zpat"/>
          <w:jc w:val="right"/>
        </w:pPr>
        <w:r>
          <w:fldChar w:fldCharType="begin"/>
        </w:r>
        <w:r>
          <w:instrText>PAGE   \* MERGEFORMAT</w:instrText>
        </w:r>
        <w:r>
          <w:fldChar w:fldCharType="separate"/>
        </w:r>
        <w:r w:rsidR="0049457A">
          <w:rPr>
            <w:noProof/>
          </w:rPr>
          <w:t>1</w:t>
        </w:r>
        <w:r>
          <w:fldChar w:fldCharType="end"/>
        </w:r>
      </w:p>
    </w:sdtContent>
  </w:sdt>
  <w:p w:rsidR="00454142" w:rsidRDefault="004541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142" w:rsidRDefault="00454142" w:rsidP="00EA7E2C">
      <w:pPr>
        <w:spacing w:after="0" w:line="240" w:lineRule="auto"/>
      </w:pPr>
      <w:r>
        <w:separator/>
      </w:r>
    </w:p>
  </w:footnote>
  <w:footnote w:type="continuationSeparator" w:id="0">
    <w:p w:rsidR="00454142" w:rsidRDefault="00454142" w:rsidP="00EA7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42" w:rsidRDefault="00454142" w:rsidP="001525D8">
    <w:pPr>
      <w:pStyle w:val="Zhlav"/>
      <w:tabs>
        <w:tab w:val="clear" w:pos="4536"/>
        <w:tab w:val="clear" w:pos="9072"/>
        <w:tab w:val="center" w:pos="4309"/>
      </w:tabs>
      <w:ind w:left="-756"/>
    </w:pPr>
  </w:p>
  <w:p w:rsidR="00454142" w:rsidRDefault="004541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CEC"/>
    <w:multiLevelType w:val="hybridMultilevel"/>
    <w:tmpl w:val="62B2BA88"/>
    <w:lvl w:ilvl="0" w:tplc="D54ED3B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ADE0D50"/>
    <w:multiLevelType w:val="hybridMultilevel"/>
    <w:tmpl w:val="EF3EA00C"/>
    <w:lvl w:ilvl="0" w:tplc="A51CD55E">
      <w:start w:val="1"/>
      <w:numFmt w:val="decimal"/>
      <w:pStyle w:val="slovn"/>
      <w:lvlText w:val="%1."/>
      <w:lvlJc w:val="left"/>
      <w:pPr>
        <w:tabs>
          <w:tab w:val="num" w:pos="1140"/>
        </w:tabs>
        <w:ind w:left="1140" w:hanging="397"/>
      </w:pPr>
      <w:rPr>
        <w:rFonts w:hint="default"/>
      </w:rPr>
    </w:lvl>
    <w:lvl w:ilvl="1" w:tplc="04050019" w:tentative="1">
      <w:start w:val="1"/>
      <w:numFmt w:val="lowerLetter"/>
      <w:lvlText w:val="%2."/>
      <w:lvlJc w:val="left"/>
      <w:pPr>
        <w:tabs>
          <w:tab w:val="num" w:pos="1474"/>
        </w:tabs>
        <w:ind w:left="1474" w:hanging="360"/>
      </w:pPr>
    </w:lvl>
    <w:lvl w:ilvl="2" w:tplc="0405001B" w:tentative="1">
      <w:start w:val="1"/>
      <w:numFmt w:val="lowerRoman"/>
      <w:lvlText w:val="%3."/>
      <w:lvlJc w:val="right"/>
      <w:pPr>
        <w:tabs>
          <w:tab w:val="num" w:pos="2194"/>
        </w:tabs>
        <w:ind w:left="2194" w:hanging="180"/>
      </w:pPr>
    </w:lvl>
    <w:lvl w:ilvl="3" w:tplc="0405000F" w:tentative="1">
      <w:start w:val="1"/>
      <w:numFmt w:val="decimal"/>
      <w:lvlText w:val="%4."/>
      <w:lvlJc w:val="left"/>
      <w:pPr>
        <w:tabs>
          <w:tab w:val="num" w:pos="2914"/>
        </w:tabs>
        <w:ind w:left="2914" w:hanging="360"/>
      </w:pPr>
    </w:lvl>
    <w:lvl w:ilvl="4" w:tplc="04050019" w:tentative="1">
      <w:start w:val="1"/>
      <w:numFmt w:val="lowerLetter"/>
      <w:lvlText w:val="%5."/>
      <w:lvlJc w:val="left"/>
      <w:pPr>
        <w:tabs>
          <w:tab w:val="num" w:pos="3634"/>
        </w:tabs>
        <w:ind w:left="3634" w:hanging="360"/>
      </w:pPr>
    </w:lvl>
    <w:lvl w:ilvl="5" w:tplc="0405001B" w:tentative="1">
      <w:start w:val="1"/>
      <w:numFmt w:val="lowerRoman"/>
      <w:lvlText w:val="%6."/>
      <w:lvlJc w:val="right"/>
      <w:pPr>
        <w:tabs>
          <w:tab w:val="num" w:pos="4354"/>
        </w:tabs>
        <w:ind w:left="4354" w:hanging="180"/>
      </w:pPr>
    </w:lvl>
    <w:lvl w:ilvl="6" w:tplc="0405000F" w:tentative="1">
      <w:start w:val="1"/>
      <w:numFmt w:val="decimal"/>
      <w:lvlText w:val="%7."/>
      <w:lvlJc w:val="left"/>
      <w:pPr>
        <w:tabs>
          <w:tab w:val="num" w:pos="5074"/>
        </w:tabs>
        <w:ind w:left="5074" w:hanging="360"/>
      </w:pPr>
    </w:lvl>
    <w:lvl w:ilvl="7" w:tplc="04050019" w:tentative="1">
      <w:start w:val="1"/>
      <w:numFmt w:val="lowerLetter"/>
      <w:lvlText w:val="%8."/>
      <w:lvlJc w:val="left"/>
      <w:pPr>
        <w:tabs>
          <w:tab w:val="num" w:pos="5794"/>
        </w:tabs>
        <w:ind w:left="5794" w:hanging="360"/>
      </w:pPr>
    </w:lvl>
    <w:lvl w:ilvl="8" w:tplc="0405001B" w:tentative="1">
      <w:start w:val="1"/>
      <w:numFmt w:val="lowerRoman"/>
      <w:lvlText w:val="%9."/>
      <w:lvlJc w:val="right"/>
      <w:pPr>
        <w:tabs>
          <w:tab w:val="num" w:pos="6514"/>
        </w:tabs>
        <w:ind w:left="6514" w:hanging="180"/>
      </w:pPr>
    </w:lvl>
  </w:abstractNum>
  <w:abstractNum w:abstractNumId="2">
    <w:nsid w:val="10B10E46"/>
    <w:multiLevelType w:val="hybridMultilevel"/>
    <w:tmpl w:val="EE548EB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7327E96"/>
    <w:multiLevelType w:val="hybridMultilevel"/>
    <w:tmpl w:val="62B2BA88"/>
    <w:lvl w:ilvl="0" w:tplc="D54ED3B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9F33767"/>
    <w:multiLevelType w:val="hybridMultilevel"/>
    <w:tmpl w:val="2EC83AC4"/>
    <w:lvl w:ilvl="0" w:tplc="DEB452DA">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F34260"/>
    <w:multiLevelType w:val="hybridMultilevel"/>
    <w:tmpl w:val="946A3968"/>
    <w:lvl w:ilvl="0" w:tplc="D2D00D46">
      <w:start w:val="1"/>
      <w:numFmt w:val="upperRoman"/>
      <w:lvlText w:val="%1."/>
      <w:lvlJc w:val="righ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1E526020"/>
    <w:multiLevelType w:val="hybridMultilevel"/>
    <w:tmpl w:val="DC58CF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24337554"/>
    <w:multiLevelType w:val="hybridMultilevel"/>
    <w:tmpl w:val="2A7C3B8C"/>
    <w:lvl w:ilvl="0" w:tplc="0405000D">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8">
    <w:nsid w:val="288666BE"/>
    <w:multiLevelType w:val="hybridMultilevel"/>
    <w:tmpl w:val="2870CFB8"/>
    <w:lvl w:ilvl="0" w:tplc="2CFABB04">
      <w:start w:val="1"/>
      <w:numFmt w:val="lowerLetter"/>
      <w:lvlText w:val="%1)"/>
      <w:lvlJc w:val="left"/>
      <w:pPr>
        <w:ind w:left="1800" w:hanging="360"/>
      </w:p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9">
    <w:nsid w:val="2D4A23E7"/>
    <w:multiLevelType w:val="hybridMultilevel"/>
    <w:tmpl w:val="625A74DE"/>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EA932B7"/>
    <w:multiLevelType w:val="hybridMultilevel"/>
    <w:tmpl w:val="9F2AA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F731203"/>
    <w:multiLevelType w:val="hybridMultilevel"/>
    <w:tmpl w:val="EE548EB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2F7A050A"/>
    <w:multiLevelType w:val="multilevel"/>
    <w:tmpl w:val="DECE06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3806754"/>
    <w:multiLevelType w:val="hybridMultilevel"/>
    <w:tmpl w:val="303A6F20"/>
    <w:lvl w:ilvl="0" w:tplc="EACA0A2A">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344D1E35"/>
    <w:multiLevelType w:val="hybridMultilevel"/>
    <w:tmpl w:val="2ECEDDD2"/>
    <w:lvl w:ilvl="0" w:tplc="0405000D">
      <w:start w:val="1"/>
      <w:numFmt w:val="bullet"/>
      <w:lvlText w:val=""/>
      <w:lvlJc w:val="left"/>
      <w:pPr>
        <w:ind w:left="2136" w:hanging="360"/>
      </w:pPr>
      <w:rPr>
        <w:rFonts w:ascii="Wingdings" w:hAnsi="Wingdings" w:hint="default"/>
      </w:rPr>
    </w:lvl>
    <w:lvl w:ilvl="1" w:tplc="04050003">
      <w:start w:val="1"/>
      <w:numFmt w:val="bullet"/>
      <w:lvlText w:val="o"/>
      <w:lvlJc w:val="left"/>
      <w:pPr>
        <w:ind w:left="2856" w:hanging="360"/>
      </w:pPr>
      <w:rPr>
        <w:rFonts w:ascii="Courier New" w:hAnsi="Courier New" w:cs="Courier New" w:hint="default"/>
      </w:rPr>
    </w:lvl>
    <w:lvl w:ilvl="2" w:tplc="04050005">
      <w:start w:val="1"/>
      <w:numFmt w:val="bullet"/>
      <w:lvlText w:val=""/>
      <w:lvlJc w:val="left"/>
      <w:pPr>
        <w:ind w:left="3576" w:hanging="360"/>
      </w:pPr>
      <w:rPr>
        <w:rFonts w:ascii="Wingdings" w:hAnsi="Wingdings" w:hint="default"/>
      </w:rPr>
    </w:lvl>
    <w:lvl w:ilvl="3" w:tplc="04050001">
      <w:start w:val="1"/>
      <w:numFmt w:val="bullet"/>
      <w:lvlText w:val=""/>
      <w:lvlJc w:val="left"/>
      <w:pPr>
        <w:ind w:left="4296" w:hanging="360"/>
      </w:pPr>
      <w:rPr>
        <w:rFonts w:ascii="Symbol" w:hAnsi="Symbol" w:hint="default"/>
      </w:rPr>
    </w:lvl>
    <w:lvl w:ilvl="4" w:tplc="04050003">
      <w:start w:val="1"/>
      <w:numFmt w:val="bullet"/>
      <w:lvlText w:val="o"/>
      <w:lvlJc w:val="left"/>
      <w:pPr>
        <w:ind w:left="5016" w:hanging="360"/>
      </w:pPr>
      <w:rPr>
        <w:rFonts w:ascii="Courier New" w:hAnsi="Courier New" w:cs="Courier New" w:hint="default"/>
      </w:rPr>
    </w:lvl>
    <w:lvl w:ilvl="5" w:tplc="04050005">
      <w:start w:val="1"/>
      <w:numFmt w:val="bullet"/>
      <w:lvlText w:val=""/>
      <w:lvlJc w:val="left"/>
      <w:pPr>
        <w:ind w:left="5736" w:hanging="360"/>
      </w:pPr>
      <w:rPr>
        <w:rFonts w:ascii="Wingdings" w:hAnsi="Wingdings" w:hint="default"/>
      </w:rPr>
    </w:lvl>
    <w:lvl w:ilvl="6" w:tplc="04050001">
      <w:start w:val="1"/>
      <w:numFmt w:val="bullet"/>
      <w:lvlText w:val=""/>
      <w:lvlJc w:val="left"/>
      <w:pPr>
        <w:ind w:left="6456" w:hanging="360"/>
      </w:pPr>
      <w:rPr>
        <w:rFonts w:ascii="Symbol" w:hAnsi="Symbol" w:hint="default"/>
      </w:rPr>
    </w:lvl>
    <w:lvl w:ilvl="7" w:tplc="04050003">
      <w:start w:val="1"/>
      <w:numFmt w:val="bullet"/>
      <w:lvlText w:val="o"/>
      <w:lvlJc w:val="left"/>
      <w:pPr>
        <w:ind w:left="7176" w:hanging="360"/>
      </w:pPr>
      <w:rPr>
        <w:rFonts w:ascii="Courier New" w:hAnsi="Courier New" w:cs="Courier New" w:hint="default"/>
      </w:rPr>
    </w:lvl>
    <w:lvl w:ilvl="8" w:tplc="04050005">
      <w:start w:val="1"/>
      <w:numFmt w:val="bullet"/>
      <w:lvlText w:val=""/>
      <w:lvlJc w:val="left"/>
      <w:pPr>
        <w:ind w:left="7896" w:hanging="360"/>
      </w:pPr>
      <w:rPr>
        <w:rFonts w:ascii="Wingdings" w:hAnsi="Wingdings" w:hint="default"/>
      </w:rPr>
    </w:lvl>
  </w:abstractNum>
  <w:abstractNum w:abstractNumId="15">
    <w:nsid w:val="38EE337F"/>
    <w:multiLevelType w:val="hybridMultilevel"/>
    <w:tmpl w:val="096015BE"/>
    <w:lvl w:ilvl="0" w:tplc="C7000318">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9B1AFA"/>
    <w:multiLevelType w:val="hybridMultilevel"/>
    <w:tmpl w:val="BA6A29A8"/>
    <w:lvl w:ilvl="0" w:tplc="8020F24A">
      <w:start w:val="1"/>
      <w:numFmt w:val="decimal"/>
      <w:lvlText w:val="%1."/>
      <w:lvlJc w:val="left"/>
      <w:pPr>
        <w:tabs>
          <w:tab w:val="num" w:pos="720"/>
        </w:tabs>
        <w:ind w:left="720" w:hanging="360"/>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3EE64FE5"/>
    <w:multiLevelType w:val="hybridMultilevel"/>
    <w:tmpl w:val="D134601E"/>
    <w:lvl w:ilvl="0" w:tplc="4C4E9D3E">
      <w:start w:val="1"/>
      <w:numFmt w:val="decimal"/>
      <w:lvlText w:val="%1."/>
      <w:lvlJc w:val="left"/>
      <w:pPr>
        <w:ind w:left="180" w:hanging="360"/>
      </w:pPr>
      <w:rPr>
        <w:rFonts w:cs="Times New Roman" w:hint="default"/>
      </w:rPr>
    </w:lvl>
    <w:lvl w:ilvl="1" w:tplc="04050019" w:tentative="1">
      <w:start w:val="1"/>
      <w:numFmt w:val="lowerLetter"/>
      <w:lvlText w:val="%2."/>
      <w:lvlJc w:val="left"/>
      <w:pPr>
        <w:ind w:left="900" w:hanging="360"/>
      </w:pPr>
      <w:rPr>
        <w:rFonts w:cs="Times New Roman"/>
      </w:rPr>
    </w:lvl>
    <w:lvl w:ilvl="2" w:tplc="0405001B" w:tentative="1">
      <w:start w:val="1"/>
      <w:numFmt w:val="lowerRoman"/>
      <w:lvlText w:val="%3."/>
      <w:lvlJc w:val="right"/>
      <w:pPr>
        <w:ind w:left="1620" w:hanging="180"/>
      </w:pPr>
      <w:rPr>
        <w:rFonts w:cs="Times New Roman"/>
      </w:rPr>
    </w:lvl>
    <w:lvl w:ilvl="3" w:tplc="0405000F" w:tentative="1">
      <w:start w:val="1"/>
      <w:numFmt w:val="decimal"/>
      <w:lvlText w:val="%4."/>
      <w:lvlJc w:val="left"/>
      <w:pPr>
        <w:ind w:left="2340" w:hanging="360"/>
      </w:pPr>
      <w:rPr>
        <w:rFonts w:cs="Times New Roman"/>
      </w:rPr>
    </w:lvl>
    <w:lvl w:ilvl="4" w:tplc="04050019" w:tentative="1">
      <w:start w:val="1"/>
      <w:numFmt w:val="lowerLetter"/>
      <w:lvlText w:val="%5."/>
      <w:lvlJc w:val="left"/>
      <w:pPr>
        <w:ind w:left="3060" w:hanging="360"/>
      </w:pPr>
      <w:rPr>
        <w:rFonts w:cs="Times New Roman"/>
      </w:rPr>
    </w:lvl>
    <w:lvl w:ilvl="5" w:tplc="0405001B" w:tentative="1">
      <w:start w:val="1"/>
      <w:numFmt w:val="lowerRoman"/>
      <w:lvlText w:val="%6."/>
      <w:lvlJc w:val="right"/>
      <w:pPr>
        <w:ind w:left="3780" w:hanging="180"/>
      </w:pPr>
      <w:rPr>
        <w:rFonts w:cs="Times New Roman"/>
      </w:rPr>
    </w:lvl>
    <w:lvl w:ilvl="6" w:tplc="0405000F" w:tentative="1">
      <w:start w:val="1"/>
      <w:numFmt w:val="decimal"/>
      <w:lvlText w:val="%7."/>
      <w:lvlJc w:val="left"/>
      <w:pPr>
        <w:ind w:left="4500" w:hanging="360"/>
      </w:pPr>
      <w:rPr>
        <w:rFonts w:cs="Times New Roman"/>
      </w:rPr>
    </w:lvl>
    <w:lvl w:ilvl="7" w:tplc="04050019" w:tentative="1">
      <w:start w:val="1"/>
      <w:numFmt w:val="lowerLetter"/>
      <w:lvlText w:val="%8."/>
      <w:lvlJc w:val="left"/>
      <w:pPr>
        <w:ind w:left="5220" w:hanging="360"/>
      </w:pPr>
      <w:rPr>
        <w:rFonts w:cs="Times New Roman"/>
      </w:rPr>
    </w:lvl>
    <w:lvl w:ilvl="8" w:tplc="0405001B" w:tentative="1">
      <w:start w:val="1"/>
      <w:numFmt w:val="lowerRoman"/>
      <w:lvlText w:val="%9."/>
      <w:lvlJc w:val="right"/>
      <w:pPr>
        <w:ind w:left="5940" w:hanging="180"/>
      </w:pPr>
      <w:rPr>
        <w:rFonts w:cs="Times New Roman"/>
      </w:rPr>
    </w:lvl>
  </w:abstractNum>
  <w:abstractNum w:abstractNumId="18">
    <w:nsid w:val="42D105B8"/>
    <w:multiLevelType w:val="hybridMultilevel"/>
    <w:tmpl w:val="3C8C492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nsid w:val="44AF1FEC"/>
    <w:multiLevelType w:val="hybridMultilevel"/>
    <w:tmpl w:val="08D654F2"/>
    <w:lvl w:ilvl="0" w:tplc="2CD8E1B4">
      <w:start w:val="1"/>
      <w:numFmt w:val="upperRoman"/>
      <w:lvlText w:val="%1."/>
      <w:lvlJc w:val="right"/>
      <w:pPr>
        <w:tabs>
          <w:tab w:val="num" w:pos="720"/>
        </w:tabs>
        <w:ind w:left="720" w:hanging="18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450050C1"/>
    <w:multiLevelType w:val="hybridMultilevel"/>
    <w:tmpl w:val="EE548EB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4D1C7402"/>
    <w:multiLevelType w:val="hybridMultilevel"/>
    <w:tmpl w:val="62B2BA88"/>
    <w:lvl w:ilvl="0" w:tplc="D54ED3B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4D712973"/>
    <w:multiLevelType w:val="hybridMultilevel"/>
    <w:tmpl w:val="4DB6C9DE"/>
    <w:lvl w:ilvl="0" w:tplc="1AD810BC">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nsid w:val="50562A5E"/>
    <w:multiLevelType w:val="hybridMultilevel"/>
    <w:tmpl w:val="6E2AC63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3A072F9"/>
    <w:multiLevelType w:val="hybridMultilevel"/>
    <w:tmpl w:val="FC18E3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A953F50"/>
    <w:multiLevelType w:val="hybridMultilevel"/>
    <w:tmpl w:val="66CAB9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BF8082C"/>
    <w:multiLevelType w:val="hybridMultilevel"/>
    <w:tmpl w:val="3EC67C02"/>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27">
    <w:nsid w:val="5D8165C7"/>
    <w:multiLevelType w:val="hybridMultilevel"/>
    <w:tmpl w:val="7A2ED06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2"/>
  </w:num>
  <w:num w:numId="10">
    <w:abstractNumId w:val="6"/>
  </w:num>
  <w:num w:numId="11">
    <w:abstractNumId w:val="3"/>
  </w:num>
  <w:num w:numId="12">
    <w:abstractNumId w:val="21"/>
  </w:num>
  <w:num w:numId="13">
    <w:abstractNumId w:val="11"/>
  </w:num>
  <w:num w:numId="14">
    <w:abstractNumId w:val="0"/>
  </w:num>
  <w:num w:numId="15">
    <w:abstractNumId w:val="20"/>
  </w:num>
  <w:num w:numId="16">
    <w:abstractNumId w:val="22"/>
  </w:num>
  <w:num w:numId="17">
    <w:abstractNumId w:val="10"/>
  </w:num>
  <w:num w:numId="18">
    <w:abstractNumId w:val="1"/>
  </w:num>
  <w:num w:numId="19">
    <w:abstractNumId w:val="1"/>
    <w:lvlOverride w:ilvl="0">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3"/>
  </w:num>
  <w:num w:numId="23">
    <w:abstractNumId w:val="25"/>
  </w:num>
  <w:num w:numId="24">
    <w:abstractNumId w:val="18"/>
  </w:num>
  <w:num w:numId="25">
    <w:abstractNumId w:val="27"/>
  </w:num>
  <w:num w:numId="26">
    <w:abstractNumId w:val="24"/>
  </w:num>
  <w:num w:numId="27">
    <w:abstractNumId w:val="26"/>
  </w:num>
  <w:num w:numId="28">
    <w:abstractNumId w:val="12"/>
  </w:num>
  <w:num w:numId="2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2C"/>
    <w:rsid w:val="000011C5"/>
    <w:rsid w:val="00003C76"/>
    <w:rsid w:val="00007ECA"/>
    <w:rsid w:val="000108B8"/>
    <w:rsid w:val="00012314"/>
    <w:rsid w:val="00013A09"/>
    <w:rsid w:val="00015BA3"/>
    <w:rsid w:val="0001797C"/>
    <w:rsid w:val="00020737"/>
    <w:rsid w:val="00021208"/>
    <w:rsid w:val="000217F4"/>
    <w:rsid w:val="00024E19"/>
    <w:rsid w:val="000300F9"/>
    <w:rsid w:val="00030224"/>
    <w:rsid w:val="0003066E"/>
    <w:rsid w:val="0003535A"/>
    <w:rsid w:val="00041320"/>
    <w:rsid w:val="000420B5"/>
    <w:rsid w:val="00043040"/>
    <w:rsid w:val="000433A3"/>
    <w:rsid w:val="00043BEC"/>
    <w:rsid w:val="00044483"/>
    <w:rsid w:val="00051778"/>
    <w:rsid w:val="0005666F"/>
    <w:rsid w:val="00067662"/>
    <w:rsid w:val="000701B6"/>
    <w:rsid w:val="00070734"/>
    <w:rsid w:val="00072573"/>
    <w:rsid w:val="00077BD9"/>
    <w:rsid w:val="00077E4A"/>
    <w:rsid w:val="000803E8"/>
    <w:rsid w:val="00083CBE"/>
    <w:rsid w:val="00084644"/>
    <w:rsid w:val="00093ECF"/>
    <w:rsid w:val="00094BE5"/>
    <w:rsid w:val="000A432F"/>
    <w:rsid w:val="000A69E0"/>
    <w:rsid w:val="000B13BB"/>
    <w:rsid w:val="000B289E"/>
    <w:rsid w:val="000B5653"/>
    <w:rsid w:val="000B5E53"/>
    <w:rsid w:val="000C0F61"/>
    <w:rsid w:val="000C1C40"/>
    <w:rsid w:val="000C3E93"/>
    <w:rsid w:val="000D073C"/>
    <w:rsid w:val="000D0D48"/>
    <w:rsid w:val="000D5267"/>
    <w:rsid w:val="000D7E40"/>
    <w:rsid w:val="000E0F61"/>
    <w:rsid w:val="000E55C0"/>
    <w:rsid w:val="000E7140"/>
    <w:rsid w:val="000F0450"/>
    <w:rsid w:val="000F1407"/>
    <w:rsid w:val="000F1F92"/>
    <w:rsid w:val="000F435E"/>
    <w:rsid w:val="000F4E0E"/>
    <w:rsid w:val="000F6368"/>
    <w:rsid w:val="00101302"/>
    <w:rsid w:val="0010174C"/>
    <w:rsid w:val="001048C9"/>
    <w:rsid w:val="001102A2"/>
    <w:rsid w:val="00110AA1"/>
    <w:rsid w:val="0011376E"/>
    <w:rsid w:val="001143DB"/>
    <w:rsid w:val="001208A4"/>
    <w:rsid w:val="00121C52"/>
    <w:rsid w:val="00121FF0"/>
    <w:rsid w:val="00124C48"/>
    <w:rsid w:val="001445F6"/>
    <w:rsid w:val="0015257F"/>
    <w:rsid w:val="001525D8"/>
    <w:rsid w:val="00155D2B"/>
    <w:rsid w:val="00161A3A"/>
    <w:rsid w:val="001626D2"/>
    <w:rsid w:val="00167B3E"/>
    <w:rsid w:val="00170F80"/>
    <w:rsid w:val="00185EB1"/>
    <w:rsid w:val="001868FA"/>
    <w:rsid w:val="00187F72"/>
    <w:rsid w:val="00193C7F"/>
    <w:rsid w:val="001978E2"/>
    <w:rsid w:val="001B440B"/>
    <w:rsid w:val="001B4DB1"/>
    <w:rsid w:val="001C0EA6"/>
    <w:rsid w:val="001C1838"/>
    <w:rsid w:val="001C4722"/>
    <w:rsid w:val="001C71B4"/>
    <w:rsid w:val="001D0092"/>
    <w:rsid w:val="001D34BC"/>
    <w:rsid w:val="001D3648"/>
    <w:rsid w:val="001D5903"/>
    <w:rsid w:val="001E0555"/>
    <w:rsid w:val="001E2AB9"/>
    <w:rsid w:val="001F0541"/>
    <w:rsid w:val="001F4CBF"/>
    <w:rsid w:val="00203A24"/>
    <w:rsid w:val="0020506A"/>
    <w:rsid w:val="00205892"/>
    <w:rsid w:val="00222E8B"/>
    <w:rsid w:val="00224BA1"/>
    <w:rsid w:val="0022748E"/>
    <w:rsid w:val="00230466"/>
    <w:rsid w:val="00230D66"/>
    <w:rsid w:val="00231E74"/>
    <w:rsid w:val="00234FF2"/>
    <w:rsid w:val="002417DF"/>
    <w:rsid w:val="00241F1A"/>
    <w:rsid w:val="00251DF3"/>
    <w:rsid w:val="00260A7A"/>
    <w:rsid w:val="0026262C"/>
    <w:rsid w:val="00265390"/>
    <w:rsid w:val="002663B0"/>
    <w:rsid w:val="00266484"/>
    <w:rsid w:val="002673F6"/>
    <w:rsid w:val="00267A0A"/>
    <w:rsid w:val="00270885"/>
    <w:rsid w:val="00272EDE"/>
    <w:rsid w:val="00274D95"/>
    <w:rsid w:val="00280F44"/>
    <w:rsid w:val="0028783B"/>
    <w:rsid w:val="00290BCF"/>
    <w:rsid w:val="00294E5A"/>
    <w:rsid w:val="00295250"/>
    <w:rsid w:val="002956FD"/>
    <w:rsid w:val="00296B47"/>
    <w:rsid w:val="00296F56"/>
    <w:rsid w:val="002A0AFC"/>
    <w:rsid w:val="002A1386"/>
    <w:rsid w:val="002A3BEA"/>
    <w:rsid w:val="002A58EF"/>
    <w:rsid w:val="002A6A39"/>
    <w:rsid w:val="002B20A0"/>
    <w:rsid w:val="002B45CB"/>
    <w:rsid w:val="002C47F3"/>
    <w:rsid w:val="002C7124"/>
    <w:rsid w:val="002D096D"/>
    <w:rsid w:val="002D37AB"/>
    <w:rsid w:val="002E0479"/>
    <w:rsid w:val="002E0ACA"/>
    <w:rsid w:val="002E30AB"/>
    <w:rsid w:val="002E32AD"/>
    <w:rsid w:val="002E7C4F"/>
    <w:rsid w:val="0030227F"/>
    <w:rsid w:val="0030732D"/>
    <w:rsid w:val="00311272"/>
    <w:rsid w:val="00314B25"/>
    <w:rsid w:val="0032111F"/>
    <w:rsid w:val="003239D9"/>
    <w:rsid w:val="00325D2F"/>
    <w:rsid w:val="003343DA"/>
    <w:rsid w:val="0034222F"/>
    <w:rsid w:val="00342D32"/>
    <w:rsid w:val="00343A0F"/>
    <w:rsid w:val="00346257"/>
    <w:rsid w:val="0035356E"/>
    <w:rsid w:val="0035410B"/>
    <w:rsid w:val="00361648"/>
    <w:rsid w:val="00371736"/>
    <w:rsid w:val="00372319"/>
    <w:rsid w:val="00375ECC"/>
    <w:rsid w:val="00382816"/>
    <w:rsid w:val="00384A46"/>
    <w:rsid w:val="00384B7A"/>
    <w:rsid w:val="00385A96"/>
    <w:rsid w:val="00392EA7"/>
    <w:rsid w:val="00393C22"/>
    <w:rsid w:val="00394DE5"/>
    <w:rsid w:val="0039695E"/>
    <w:rsid w:val="003A3008"/>
    <w:rsid w:val="003A596B"/>
    <w:rsid w:val="003A66E9"/>
    <w:rsid w:val="003A7555"/>
    <w:rsid w:val="003B4A52"/>
    <w:rsid w:val="003B58A3"/>
    <w:rsid w:val="003B67C7"/>
    <w:rsid w:val="003C02BF"/>
    <w:rsid w:val="003C2D87"/>
    <w:rsid w:val="003C532C"/>
    <w:rsid w:val="003C61EC"/>
    <w:rsid w:val="003C71DB"/>
    <w:rsid w:val="003D12FD"/>
    <w:rsid w:val="003F0FF6"/>
    <w:rsid w:val="003F1747"/>
    <w:rsid w:val="003F1E90"/>
    <w:rsid w:val="003F6DA4"/>
    <w:rsid w:val="00402338"/>
    <w:rsid w:val="00403B7B"/>
    <w:rsid w:val="00404D6B"/>
    <w:rsid w:val="0040535A"/>
    <w:rsid w:val="00406477"/>
    <w:rsid w:val="004066F8"/>
    <w:rsid w:val="004117F3"/>
    <w:rsid w:val="00413FA6"/>
    <w:rsid w:val="004150CF"/>
    <w:rsid w:val="00420548"/>
    <w:rsid w:val="00420EC2"/>
    <w:rsid w:val="00422BDA"/>
    <w:rsid w:val="00422FB6"/>
    <w:rsid w:val="00423DA8"/>
    <w:rsid w:val="0042531A"/>
    <w:rsid w:val="00430165"/>
    <w:rsid w:val="00433BDF"/>
    <w:rsid w:val="00435E04"/>
    <w:rsid w:val="00442336"/>
    <w:rsid w:val="0044496A"/>
    <w:rsid w:val="004509F9"/>
    <w:rsid w:val="00453833"/>
    <w:rsid w:val="00453C7A"/>
    <w:rsid w:val="00454142"/>
    <w:rsid w:val="00454958"/>
    <w:rsid w:val="00456249"/>
    <w:rsid w:val="004627C6"/>
    <w:rsid w:val="0046414E"/>
    <w:rsid w:val="004666B5"/>
    <w:rsid w:val="0047004F"/>
    <w:rsid w:val="00470ABD"/>
    <w:rsid w:val="00472D29"/>
    <w:rsid w:val="00485A69"/>
    <w:rsid w:val="00493706"/>
    <w:rsid w:val="0049457A"/>
    <w:rsid w:val="00494C48"/>
    <w:rsid w:val="00494EB4"/>
    <w:rsid w:val="00495FD2"/>
    <w:rsid w:val="004A5333"/>
    <w:rsid w:val="004A6E90"/>
    <w:rsid w:val="004B096F"/>
    <w:rsid w:val="004B3FDE"/>
    <w:rsid w:val="004B410E"/>
    <w:rsid w:val="004B648C"/>
    <w:rsid w:val="004B6CB5"/>
    <w:rsid w:val="004B6F90"/>
    <w:rsid w:val="004B7DBB"/>
    <w:rsid w:val="004C06CC"/>
    <w:rsid w:val="004C1DB7"/>
    <w:rsid w:val="004C36B6"/>
    <w:rsid w:val="004C50C5"/>
    <w:rsid w:val="004C6201"/>
    <w:rsid w:val="004D0594"/>
    <w:rsid w:val="004D08D2"/>
    <w:rsid w:val="004D3EB5"/>
    <w:rsid w:val="004D508E"/>
    <w:rsid w:val="004E62B4"/>
    <w:rsid w:val="00504321"/>
    <w:rsid w:val="005045EB"/>
    <w:rsid w:val="00507115"/>
    <w:rsid w:val="005153A6"/>
    <w:rsid w:val="005225B5"/>
    <w:rsid w:val="005276B3"/>
    <w:rsid w:val="00540A95"/>
    <w:rsid w:val="00546FB0"/>
    <w:rsid w:val="00556ABE"/>
    <w:rsid w:val="00557B37"/>
    <w:rsid w:val="00567C08"/>
    <w:rsid w:val="00571BB9"/>
    <w:rsid w:val="00575FD4"/>
    <w:rsid w:val="00581B9B"/>
    <w:rsid w:val="005831E0"/>
    <w:rsid w:val="0058390E"/>
    <w:rsid w:val="0058402D"/>
    <w:rsid w:val="005846C0"/>
    <w:rsid w:val="00587188"/>
    <w:rsid w:val="0059522A"/>
    <w:rsid w:val="00597FCD"/>
    <w:rsid w:val="005A4F22"/>
    <w:rsid w:val="005A5C22"/>
    <w:rsid w:val="005A6E7F"/>
    <w:rsid w:val="005A7D5C"/>
    <w:rsid w:val="005B0D4A"/>
    <w:rsid w:val="005B3AD3"/>
    <w:rsid w:val="005C3B64"/>
    <w:rsid w:val="005D06D7"/>
    <w:rsid w:val="005D1C07"/>
    <w:rsid w:val="005D5FC8"/>
    <w:rsid w:val="005D6712"/>
    <w:rsid w:val="005D7120"/>
    <w:rsid w:val="005E1823"/>
    <w:rsid w:val="005E2567"/>
    <w:rsid w:val="005E3FEA"/>
    <w:rsid w:val="005F0EEB"/>
    <w:rsid w:val="005F12C2"/>
    <w:rsid w:val="005F1963"/>
    <w:rsid w:val="005F6590"/>
    <w:rsid w:val="005F6F69"/>
    <w:rsid w:val="005F7C0E"/>
    <w:rsid w:val="00600CCE"/>
    <w:rsid w:val="0060107F"/>
    <w:rsid w:val="00601210"/>
    <w:rsid w:val="006012AE"/>
    <w:rsid w:val="006023A1"/>
    <w:rsid w:val="0062047E"/>
    <w:rsid w:val="00624F24"/>
    <w:rsid w:val="00631330"/>
    <w:rsid w:val="00634B31"/>
    <w:rsid w:val="00641C20"/>
    <w:rsid w:val="00641FFA"/>
    <w:rsid w:val="00644411"/>
    <w:rsid w:val="00645E4B"/>
    <w:rsid w:val="006506ED"/>
    <w:rsid w:val="006555E5"/>
    <w:rsid w:val="00656BBB"/>
    <w:rsid w:val="00662C2B"/>
    <w:rsid w:val="0066781B"/>
    <w:rsid w:val="00672A52"/>
    <w:rsid w:val="006745E3"/>
    <w:rsid w:val="006769C7"/>
    <w:rsid w:val="006832D2"/>
    <w:rsid w:val="00683EEE"/>
    <w:rsid w:val="00685874"/>
    <w:rsid w:val="006872AD"/>
    <w:rsid w:val="0069000E"/>
    <w:rsid w:val="00690A3E"/>
    <w:rsid w:val="00690DB0"/>
    <w:rsid w:val="00690FCC"/>
    <w:rsid w:val="00691CD7"/>
    <w:rsid w:val="006A3983"/>
    <w:rsid w:val="006A4E0C"/>
    <w:rsid w:val="006A610A"/>
    <w:rsid w:val="006B40FE"/>
    <w:rsid w:val="006B5856"/>
    <w:rsid w:val="006B7E4B"/>
    <w:rsid w:val="006C116B"/>
    <w:rsid w:val="006C2889"/>
    <w:rsid w:val="006C3181"/>
    <w:rsid w:val="006C461E"/>
    <w:rsid w:val="006C4CFF"/>
    <w:rsid w:val="006D44AA"/>
    <w:rsid w:val="006D4D08"/>
    <w:rsid w:val="006D7FC1"/>
    <w:rsid w:val="006E01C4"/>
    <w:rsid w:val="006E6FB2"/>
    <w:rsid w:val="006F0B22"/>
    <w:rsid w:val="006F1762"/>
    <w:rsid w:val="006F3084"/>
    <w:rsid w:val="006F3F92"/>
    <w:rsid w:val="006F51B9"/>
    <w:rsid w:val="006F5B7D"/>
    <w:rsid w:val="006F6E7A"/>
    <w:rsid w:val="00701B26"/>
    <w:rsid w:val="00704E5C"/>
    <w:rsid w:val="00715B6E"/>
    <w:rsid w:val="007210E7"/>
    <w:rsid w:val="0072116C"/>
    <w:rsid w:val="00721DE2"/>
    <w:rsid w:val="00724521"/>
    <w:rsid w:val="00731C26"/>
    <w:rsid w:val="00734E66"/>
    <w:rsid w:val="0074375A"/>
    <w:rsid w:val="007471E9"/>
    <w:rsid w:val="00753BB6"/>
    <w:rsid w:val="00757FDB"/>
    <w:rsid w:val="0077518E"/>
    <w:rsid w:val="00786E77"/>
    <w:rsid w:val="00787F37"/>
    <w:rsid w:val="00790B92"/>
    <w:rsid w:val="00790BE9"/>
    <w:rsid w:val="00790FA9"/>
    <w:rsid w:val="00793C9C"/>
    <w:rsid w:val="007977AB"/>
    <w:rsid w:val="007A0204"/>
    <w:rsid w:val="007A1796"/>
    <w:rsid w:val="007A3DBB"/>
    <w:rsid w:val="007A4E84"/>
    <w:rsid w:val="007A6194"/>
    <w:rsid w:val="007A7234"/>
    <w:rsid w:val="007A77BB"/>
    <w:rsid w:val="007A7F3B"/>
    <w:rsid w:val="007B6EA8"/>
    <w:rsid w:val="007B7204"/>
    <w:rsid w:val="007D14F8"/>
    <w:rsid w:val="007E3A70"/>
    <w:rsid w:val="007F0904"/>
    <w:rsid w:val="007F2C86"/>
    <w:rsid w:val="007F3681"/>
    <w:rsid w:val="007F44E6"/>
    <w:rsid w:val="00801B41"/>
    <w:rsid w:val="008023FA"/>
    <w:rsid w:val="00803CF4"/>
    <w:rsid w:val="008078E3"/>
    <w:rsid w:val="008101CC"/>
    <w:rsid w:val="00811CF2"/>
    <w:rsid w:val="00820442"/>
    <w:rsid w:val="00821853"/>
    <w:rsid w:val="00827A4A"/>
    <w:rsid w:val="00840121"/>
    <w:rsid w:val="00843535"/>
    <w:rsid w:val="0084747D"/>
    <w:rsid w:val="00851F14"/>
    <w:rsid w:val="00854201"/>
    <w:rsid w:val="00854E97"/>
    <w:rsid w:val="0085562C"/>
    <w:rsid w:val="008568FD"/>
    <w:rsid w:val="00857255"/>
    <w:rsid w:val="00860A4E"/>
    <w:rsid w:val="00861DF5"/>
    <w:rsid w:val="00864493"/>
    <w:rsid w:val="008668A7"/>
    <w:rsid w:val="00867274"/>
    <w:rsid w:val="00880BEF"/>
    <w:rsid w:val="00880CDE"/>
    <w:rsid w:val="008823C4"/>
    <w:rsid w:val="00882CD7"/>
    <w:rsid w:val="00883103"/>
    <w:rsid w:val="0088395B"/>
    <w:rsid w:val="00884830"/>
    <w:rsid w:val="00884C36"/>
    <w:rsid w:val="00884F73"/>
    <w:rsid w:val="00887687"/>
    <w:rsid w:val="00895209"/>
    <w:rsid w:val="00895324"/>
    <w:rsid w:val="008954D4"/>
    <w:rsid w:val="0089656E"/>
    <w:rsid w:val="00896816"/>
    <w:rsid w:val="008A154B"/>
    <w:rsid w:val="008B2158"/>
    <w:rsid w:val="008C0875"/>
    <w:rsid w:val="008C1E83"/>
    <w:rsid w:val="008C26F9"/>
    <w:rsid w:val="008C2F01"/>
    <w:rsid w:val="008C6765"/>
    <w:rsid w:val="008C67CC"/>
    <w:rsid w:val="008D4E55"/>
    <w:rsid w:val="008D60AB"/>
    <w:rsid w:val="008E056D"/>
    <w:rsid w:val="008E1DF9"/>
    <w:rsid w:val="008E2DFA"/>
    <w:rsid w:val="008F077F"/>
    <w:rsid w:val="008F52D8"/>
    <w:rsid w:val="008F6B63"/>
    <w:rsid w:val="00904DF3"/>
    <w:rsid w:val="00905242"/>
    <w:rsid w:val="00911E6C"/>
    <w:rsid w:val="0091459A"/>
    <w:rsid w:val="00916B03"/>
    <w:rsid w:val="00920134"/>
    <w:rsid w:val="0092026D"/>
    <w:rsid w:val="00920275"/>
    <w:rsid w:val="009229BF"/>
    <w:rsid w:val="00922BCE"/>
    <w:rsid w:val="009260DD"/>
    <w:rsid w:val="009268AB"/>
    <w:rsid w:val="00926A0F"/>
    <w:rsid w:val="00930E9F"/>
    <w:rsid w:val="009365BF"/>
    <w:rsid w:val="00936B85"/>
    <w:rsid w:val="009379E0"/>
    <w:rsid w:val="0094015C"/>
    <w:rsid w:val="009423F6"/>
    <w:rsid w:val="00943C38"/>
    <w:rsid w:val="00951540"/>
    <w:rsid w:val="00955B4B"/>
    <w:rsid w:val="00960EB0"/>
    <w:rsid w:val="00964783"/>
    <w:rsid w:val="00975F2F"/>
    <w:rsid w:val="00984328"/>
    <w:rsid w:val="0098487E"/>
    <w:rsid w:val="009861C8"/>
    <w:rsid w:val="0099165D"/>
    <w:rsid w:val="009918AD"/>
    <w:rsid w:val="00993484"/>
    <w:rsid w:val="00993E18"/>
    <w:rsid w:val="00994872"/>
    <w:rsid w:val="009961A9"/>
    <w:rsid w:val="009A1ACA"/>
    <w:rsid w:val="009A4B35"/>
    <w:rsid w:val="009A4E70"/>
    <w:rsid w:val="009B344F"/>
    <w:rsid w:val="009C57E0"/>
    <w:rsid w:val="009D0313"/>
    <w:rsid w:val="009D5499"/>
    <w:rsid w:val="009D5835"/>
    <w:rsid w:val="009F073A"/>
    <w:rsid w:val="009F28C4"/>
    <w:rsid w:val="009F2EF2"/>
    <w:rsid w:val="009F2EF6"/>
    <w:rsid w:val="009F465C"/>
    <w:rsid w:val="009F4790"/>
    <w:rsid w:val="009F6D35"/>
    <w:rsid w:val="00A06892"/>
    <w:rsid w:val="00A071EA"/>
    <w:rsid w:val="00A07C1E"/>
    <w:rsid w:val="00A11815"/>
    <w:rsid w:val="00A13CAA"/>
    <w:rsid w:val="00A1746F"/>
    <w:rsid w:val="00A179B9"/>
    <w:rsid w:val="00A244DD"/>
    <w:rsid w:val="00A31128"/>
    <w:rsid w:val="00A312E3"/>
    <w:rsid w:val="00A328DE"/>
    <w:rsid w:val="00A34C83"/>
    <w:rsid w:val="00A36CBB"/>
    <w:rsid w:val="00A40479"/>
    <w:rsid w:val="00A410A8"/>
    <w:rsid w:val="00A4263C"/>
    <w:rsid w:val="00A42F3F"/>
    <w:rsid w:val="00A52257"/>
    <w:rsid w:val="00A52E7B"/>
    <w:rsid w:val="00A53484"/>
    <w:rsid w:val="00A5430A"/>
    <w:rsid w:val="00A55D62"/>
    <w:rsid w:val="00A56AD8"/>
    <w:rsid w:val="00A6165A"/>
    <w:rsid w:val="00A64389"/>
    <w:rsid w:val="00A722F0"/>
    <w:rsid w:val="00A72B5B"/>
    <w:rsid w:val="00A72E40"/>
    <w:rsid w:val="00A77812"/>
    <w:rsid w:val="00A80B20"/>
    <w:rsid w:val="00A81709"/>
    <w:rsid w:val="00A82948"/>
    <w:rsid w:val="00A82A80"/>
    <w:rsid w:val="00A837CA"/>
    <w:rsid w:val="00A83C44"/>
    <w:rsid w:val="00AA1B33"/>
    <w:rsid w:val="00AA4F9C"/>
    <w:rsid w:val="00AC1AB2"/>
    <w:rsid w:val="00AC1DE1"/>
    <w:rsid w:val="00AC5CEF"/>
    <w:rsid w:val="00AC656B"/>
    <w:rsid w:val="00AD0A89"/>
    <w:rsid w:val="00AE1807"/>
    <w:rsid w:val="00AE50A8"/>
    <w:rsid w:val="00AE62C1"/>
    <w:rsid w:val="00AF029F"/>
    <w:rsid w:val="00AF1AD4"/>
    <w:rsid w:val="00AF2EC5"/>
    <w:rsid w:val="00AF6956"/>
    <w:rsid w:val="00B00CE7"/>
    <w:rsid w:val="00B0653C"/>
    <w:rsid w:val="00B13C2B"/>
    <w:rsid w:val="00B161E3"/>
    <w:rsid w:val="00B1675C"/>
    <w:rsid w:val="00B1768A"/>
    <w:rsid w:val="00B201A0"/>
    <w:rsid w:val="00B2236D"/>
    <w:rsid w:val="00B24397"/>
    <w:rsid w:val="00B243D7"/>
    <w:rsid w:val="00B26C5F"/>
    <w:rsid w:val="00B336AB"/>
    <w:rsid w:val="00B35168"/>
    <w:rsid w:val="00B357F2"/>
    <w:rsid w:val="00B40A63"/>
    <w:rsid w:val="00B41341"/>
    <w:rsid w:val="00B51F32"/>
    <w:rsid w:val="00B62765"/>
    <w:rsid w:val="00B6383C"/>
    <w:rsid w:val="00B67879"/>
    <w:rsid w:val="00B754F1"/>
    <w:rsid w:val="00B80E72"/>
    <w:rsid w:val="00B87AE9"/>
    <w:rsid w:val="00B87EF7"/>
    <w:rsid w:val="00B91781"/>
    <w:rsid w:val="00BA00BF"/>
    <w:rsid w:val="00BA5757"/>
    <w:rsid w:val="00BB0618"/>
    <w:rsid w:val="00BB0B1C"/>
    <w:rsid w:val="00BB0D61"/>
    <w:rsid w:val="00BB338D"/>
    <w:rsid w:val="00BC3653"/>
    <w:rsid w:val="00BC5C06"/>
    <w:rsid w:val="00BD5B0B"/>
    <w:rsid w:val="00BD6781"/>
    <w:rsid w:val="00BE004C"/>
    <w:rsid w:val="00BE0D58"/>
    <w:rsid w:val="00BE2C7D"/>
    <w:rsid w:val="00BE34DB"/>
    <w:rsid w:val="00BE4E91"/>
    <w:rsid w:val="00BE593E"/>
    <w:rsid w:val="00BE6483"/>
    <w:rsid w:val="00BE6CDE"/>
    <w:rsid w:val="00BE7C11"/>
    <w:rsid w:val="00BF453B"/>
    <w:rsid w:val="00BF79ED"/>
    <w:rsid w:val="00C07984"/>
    <w:rsid w:val="00C12D17"/>
    <w:rsid w:val="00C227FE"/>
    <w:rsid w:val="00C247E0"/>
    <w:rsid w:val="00C27BA3"/>
    <w:rsid w:val="00C345D7"/>
    <w:rsid w:val="00C35726"/>
    <w:rsid w:val="00C36051"/>
    <w:rsid w:val="00C406CA"/>
    <w:rsid w:val="00C41C40"/>
    <w:rsid w:val="00C42376"/>
    <w:rsid w:val="00C433C7"/>
    <w:rsid w:val="00C47502"/>
    <w:rsid w:val="00C519CF"/>
    <w:rsid w:val="00C521F7"/>
    <w:rsid w:val="00C5334B"/>
    <w:rsid w:val="00C55A85"/>
    <w:rsid w:val="00C56CE8"/>
    <w:rsid w:val="00C57288"/>
    <w:rsid w:val="00C627AB"/>
    <w:rsid w:val="00C63BD7"/>
    <w:rsid w:val="00C7097F"/>
    <w:rsid w:val="00C72D89"/>
    <w:rsid w:val="00C77BA7"/>
    <w:rsid w:val="00C846C9"/>
    <w:rsid w:val="00C86C99"/>
    <w:rsid w:val="00C90039"/>
    <w:rsid w:val="00C95251"/>
    <w:rsid w:val="00C96C81"/>
    <w:rsid w:val="00CA108A"/>
    <w:rsid w:val="00CB1F51"/>
    <w:rsid w:val="00CB4B27"/>
    <w:rsid w:val="00CB64BE"/>
    <w:rsid w:val="00CB6C17"/>
    <w:rsid w:val="00CC368B"/>
    <w:rsid w:val="00CC44BA"/>
    <w:rsid w:val="00CC46D3"/>
    <w:rsid w:val="00CC6CE8"/>
    <w:rsid w:val="00CD5552"/>
    <w:rsid w:val="00CD73A7"/>
    <w:rsid w:val="00CD7BC6"/>
    <w:rsid w:val="00CE078D"/>
    <w:rsid w:val="00CF3DB2"/>
    <w:rsid w:val="00CF56B1"/>
    <w:rsid w:val="00CF57BD"/>
    <w:rsid w:val="00CF59A1"/>
    <w:rsid w:val="00CF729E"/>
    <w:rsid w:val="00D004AA"/>
    <w:rsid w:val="00D0208E"/>
    <w:rsid w:val="00D035E7"/>
    <w:rsid w:val="00D0384C"/>
    <w:rsid w:val="00D04C91"/>
    <w:rsid w:val="00D06DCC"/>
    <w:rsid w:val="00D126E6"/>
    <w:rsid w:val="00D14869"/>
    <w:rsid w:val="00D14EAC"/>
    <w:rsid w:val="00D17FE0"/>
    <w:rsid w:val="00D24C68"/>
    <w:rsid w:val="00D26EE2"/>
    <w:rsid w:val="00D337E5"/>
    <w:rsid w:val="00D343F6"/>
    <w:rsid w:val="00D40873"/>
    <w:rsid w:val="00D5105B"/>
    <w:rsid w:val="00D54EB9"/>
    <w:rsid w:val="00D555FE"/>
    <w:rsid w:val="00D55DBF"/>
    <w:rsid w:val="00D60786"/>
    <w:rsid w:val="00D629FD"/>
    <w:rsid w:val="00D62DA2"/>
    <w:rsid w:val="00D67D50"/>
    <w:rsid w:val="00D718A5"/>
    <w:rsid w:val="00D719BC"/>
    <w:rsid w:val="00D76658"/>
    <w:rsid w:val="00D8264F"/>
    <w:rsid w:val="00D8305D"/>
    <w:rsid w:val="00D90EB2"/>
    <w:rsid w:val="00D926C7"/>
    <w:rsid w:val="00D96A3A"/>
    <w:rsid w:val="00D96DF3"/>
    <w:rsid w:val="00D97BE0"/>
    <w:rsid w:val="00DA463D"/>
    <w:rsid w:val="00DA5BF5"/>
    <w:rsid w:val="00DB1612"/>
    <w:rsid w:val="00DB1D3B"/>
    <w:rsid w:val="00DB5F03"/>
    <w:rsid w:val="00DC503B"/>
    <w:rsid w:val="00DC61AD"/>
    <w:rsid w:val="00DC7297"/>
    <w:rsid w:val="00DC7C96"/>
    <w:rsid w:val="00DE2039"/>
    <w:rsid w:val="00DE4AA4"/>
    <w:rsid w:val="00DF7CDA"/>
    <w:rsid w:val="00E01170"/>
    <w:rsid w:val="00E021D0"/>
    <w:rsid w:val="00E03713"/>
    <w:rsid w:val="00E038D0"/>
    <w:rsid w:val="00E03CBC"/>
    <w:rsid w:val="00E04A2D"/>
    <w:rsid w:val="00E05C6B"/>
    <w:rsid w:val="00E0787E"/>
    <w:rsid w:val="00E10612"/>
    <w:rsid w:val="00E13132"/>
    <w:rsid w:val="00E20FC2"/>
    <w:rsid w:val="00E2295E"/>
    <w:rsid w:val="00E2527C"/>
    <w:rsid w:val="00E25664"/>
    <w:rsid w:val="00E469AA"/>
    <w:rsid w:val="00E520BE"/>
    <w:rsid w:val="00E5269D"/>
    <w:rsid w:val="00E63546"/>
    <w:rsid w:val="00E63946"/>
    <w:rsid w:val="00E72CCB"/>
    <w:rsid w:val="00E72F3D"/>
    <w:rsid w:val="00E80065"/>
    <w:rsid w:val="00E81D91"/>
    <w:rsid w:val="00E8572F"/>
    <w:rsid w:val="00E87AFD"/>
    <w:rsid w:val="00E90615"/>
    <w:rsid w:val="00E94AE9"/>
    <w:rsid w:val="00E95ABD"/>
    <w:rsid w:val="00EA08BE"/>
    <w:rsid w:val="00EA0A4F"/>
    <w:rsid w:val="00EA7E2C"/>
    <w:rsid w:val="00EB083C"/>
    <w:rsid w:val="00EB307B"/>
    <w:rsid w:val="00EB3A08"/>
    <w:rsid w:val="00ED55F5"/>
    <w:rsid w:val="00EE01BA"/>
    <w:rsid w:val="00EE1E94"/>
    <w:rsid w:val="00EE3726"/>
    <w:rsid w:val="00EE38FB"/>
    <w:rsid w:val="00EF0802"/>
    <w:rsid w:val="00EF67A4"/>
    <w:rsid w:val="00F12EA5"/>
    <w:rsid w:val="00F2080A"/>
    <w:rsid w:val="00F25FBD"/>
    <w:rsid w:val="00F26ED7"/>
    <w:rsid w:val="00F30FBB"/>
    <w:rsid w:val="00F34B1D"/>
    <w:rsid w:val="00F351B3"/>
    <w:rsid w:val="00F40E2C"/>
    <w:rsid w:val="00F45077"/>
    <w:rsid w:val="00F51330"/>
    <w:rsid w:val="00F51446"/>
    <w:rsid w:val="00F51C25"/>
    <w:rsid w:val="00F5239B"/>
    <w:rsid w:val="00F53907"/>
    <w:rsid w:val="00F55B5F"/>
    <w:rsid w:val="00F60481"/>
    <w:rsid w:val="00F617A9"/>
    <w:rsid w:val="00F631BD"/>
    <w:rsid w:val="00F63E5A"/>
    <w:rsid w:val="00F6544B"/>
    <w:rsid w:val="00F65A5D"/>
    <w:rsid w:val="00F67DF1"/>
    <w:rsid w:val="00F7144F"/>
    <w:rsid w:val="00F733EA"/>
    <w:rsid w:val="00F7798D"/>
    <w:rsid w:val="00F77E30"/>
    <w:rsid w:val="00F80F43"/>
    <w:rsid w:val="00F81371"/>
    <w:rsid w:val="00F82B82"/>
    <w:rsid w:val="00F839EF"/>
    <w:rsid w:val="00F83E49"/>
    <w:rsid w:val="00F8641F"/>
    <w:rsid w:val="00F92F0E"/>
    <w:rsid w:val="00F95CA7"/>
    <w:rsid w:val="00FA039F"/>
    <w:rsid w:val="00FA14AE"/>
    <w:rsid w:val="00FA3A68"/>
    <w:rsid w:val="00FA6315"/>
    <w:rsid w:val="00FA69C0"/>
    <w:rsid w:val="00FA7C91"/>
    <w:rsid w:val="00FC16ED"/>
    <w:rsid w:val="00FC2A75"/>
    <w:rsid w:val="00FC6EB7"/>
    <w:rsid w:val="00FD6A65"/>
    <w:rsid w:val="00FE0D0B"/>
    <w:rsid w:val="00FE108F"/>
    <w:rsid w:val="00FE18F5"/>
    <w:rsid w:val="00FE2DE2"/>
    <w:rsid w:val="00FE6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EA7E2C"/>
    <w:pPr>
      <w:tabs>
        <w:tab w:val="center" w:pos="4536"/>
        <w:tab w:val="right" w:pos="9072"/>
      </w:tabs>
      <w:spacing w:after="0" w:line="240" w:lineRule="auto"/>
    </w:pPr>
  </w:style>
  <w:style w:type="character" w:customStyle="1" w:styleId="ZpatChar">
    <w:name w:val="Zápatí Char"/>
    <w:basedOn w:val="Standardnpsmoodstavce"/>
    <w:link w:val="Zpat"/>
    <w:uiPriority w:val="99"/>
    <w:rsid w:val="00EA7E2C"/>
  </w:style>
  <w:style w:type="paragraph" w:styleId="Zhlav">
    <w:name w:val="header"/>
    <w:basedOn w:val="Normln"/>
    <w:link w:val="ZhlavChar"/>
    <w:uiPriority w:val="99"/>
    <w:rsid w:val="00EA7E2C"/>
    <w:pPr>
      <w:tabs>
        <w:tab w:val="center" w:pos="4536"/>
        <w:tab w:val="right" w:pos="9072"/>
      </w:tabs>
      <w:spacing w:after="0" w:line="300" w:lineRule="exact"/>
      <w:jc w:val="both"/>
    </w:pPr>
    <w:rPr>
      <w:rFonts w:ascii="Arial" w:eastAsia="Times New Roman" w:hAnsi="Arial" w:cs="Times New Roman"/>
      <w:color w:val="000000"/>
      <w:szCs w:val="24"/>
      <w:lang w:eastAsia="cs-CZ"/>
    </w:rPr>
  </w:style>
  <w:style w:type="character" w:customStyle="1" w:styleId="ZhlavChar">
    <w:name w:val="Záhlaví Char"/>
    <w:basedOn w:val="Standardnpsmoodstavce"/>
    <w:link w:val="Zhlav"/>
    <w:uiPriority w:val="99"/>
    <w:rsid w:val="00EA7E2C"/>
    <w:rPr>
      <w:rFonts w:ascii="Arial" w:eastAsia="Times New Roman" w:hAnsi="Arial" w:cs="Times New Roman"/>
      <w:color w:val="000000"/>
      <w:szCs w:val="24"/>
      <w:lang w:eastAsia="cs-CZ"/>
    </w:rPr>
  </w:style>
  <w:style w:type="paragraph" w:styleId="Textpoznpodarou">
    <w:name w:val="footnote text"/>
    <w:basedOn w:val="Normln"/>
    <w:link w:val="TextpoznpodarouChar"/>
    <w:rsid w:val="00EA7E2C"/>
    <w:pPr>
      <w:spacing w:after="0" w:line="300" w:lineRule="exact"/>
      <w:jc w:val="both"/>
    </w:pPr>
    <w:rPr>
      <w:rFonts w:ascii="Arial" w:eastAsia="Times New Roman" w:hAnsi="Arial" w:cs="Times New Roman"/>
      <w:color w:val="000000"/>
      <w:sz w:val="20"/>
      <w:szCs w:val="20"/>
      <w:lang w:eastAsia="cs-CZ"/>
    </w:rPr>
  </w:style>
  <w:style w:type="character" w:customStyle="1" w:styleId="TextpoznpodarouChar">
    <w:name w:val="Text pozn. pod čarou Char"/>
    <w:basedOn w:val="Standardnpsmoodstavce"/>
    <w:link w:val="Textpoznpodarou"/>
    <w:rsid w:val="00EA7E2C"/>
    <w:rPr>
      <w:rFonts w:ascii="Arial" w:eastAsia="Times New Roman" w:hAnsi="Arial" w:cs="Times New Roman"/>
      <w:color w:val="000000"/>
      <w:sz w:val="20"/>
      <w:szCs w:val="20"/>
      <w:lang w:eastAsia="cs-CZ"/>
    </w:rPr>
  </w:style>
  <w:style w:type="character" w:styleId="Znakapoznpodarou">
    <w:name w:val="footnote reference"/>
    <w:rsid w:val="00EA7E2C"/>
    <w:rPr>
      <w:vertAlign w:val="superscript"/>
    </w:rPr>
  </w:style>
  <w:style w:type="paragraph" w:styleId="Odstavecseseznamem">
    <w:name w:val="List Paragraph"/>
    <w:basedOn w:val="Normln"/>
    <w:uiPriority w:val="34"/>
    <w:qFormat/>
    <w:rsid w:val="00EA7E2C"/>
    <w:pPr>
      <w:ind w:left="720"/>
      <w:contextualSpacing/>
    </w:pPr>
  </w:style>
  <w:style w:type="paragraph" w:styleId="Zkladntextodsazen">
    <w:name w:val="Body Text Indent"/>
    <w:basedOn w:val="Normln"/>
    <w:link w:val="ZkladntextodsazenChar"/>
    <w:rsid w:val="00BA00BF"/>
    <w:pPr>
      <w:spacing w:before="120" w:after="0" w:line="360" w:lineRule="auto"/>
      <w:ind w:firstLine="709"/>
      <w:jc w:val="both"/>
    </w:pPr>
    <w:rPr>
      <w:rFonts w:ascii="Arial" w:eastAsia="Times New Roman" w:hAnsi="Arial" w:cs="Times New Roman"/>
      <w:sz w:val="24"/>
      <w:szCs w:val="20"/>
      <w:lang w:eastAsia="cs-CZ"/>
    </w:rPr>
  </w:style>
  <w:style w:type="character" w:customStyle="1" w:styleId="ZkladntextodsazenChar">
    <w:name w:val="Základní text odsazený Char"/>
    <w:basedOn w:val="Standardnpsmoodstavce"/>
    <w:link w:val="Zkladntextodsazen"/>
    <w:rsid w:val="00BA00BF"/>
    <w:rPr>
      <w:rFonts w:ascii="Arial" w:eastAsia="Times New Roman" w:hAnsi="Arial" w:cs="Times New Roman"/>
      <w:sz w:val="24"/>
      <w:szCs w:val="20"/>
      <w:lang w:eastAsia="cs-CZ"/>
    </w:rPr>
  </w:style>
  <w:style w:type="character" w:styleId="Odkaznakoment">
    <w:name w:val="annotation reference"/>
    <w:basedOn w:val="Standardnpsmoodstavce"/>
    <w:uiPriority w:val="99"/>
    <w:semiHidden/>
    <w:unhideWhenUsed/>
    <w:rsid w:val="001868FA"/>
    <w:rPr>
      <w:sz w:val="16"/>
      <w:szCs w:val="16"/>
    </w:rPr>
  </w:style>
  <w:style w:type="paragraph" w:styleId="Textkomente">
    <w:name w:val="annotation text"/>
    <w:basedOn w:val="Normln"/>
    <w:link w:val="TextkomenteChar"/>
    <w:uiPriority w:val="99"/>
    <w:semiHidden/>
    <w:unhideWhenUsed/>
    <w:rsid w:val="001868FA"/>
    <w:pPr>
      <w:spacing w:line="240" w:lineRule="auto"/>
    </w:pPr>
    <w:rPr>
      <w:sz w:val="20"/>
      <w:szCs w:val="20"/>
    </w:rPr>
  </w:style>
  <w:style w:type="character" w:customStyle="1" w:styleId="TextkomenteChar">
    <w:name w:val="Text komentáře Char"/>
    <w:basedOn w:val="Standardnpsmoodstavce"/>
    <w:link w:val="Textkomente"/>
    <w:uiPriority w:val="99"/>
    <w:semiHidden/>
    <w:rsid w:val="001868FA"/>
    <w:rPr>
      <w:sz w:val="20"/>
      <w:szCs w:val="20"/>
    </w:rPr>
  </w:style>
  <w:style w:type="paragraph" w:styleId="Pedmtkomente">
    <w:name w:val="annotation subject"/>
    <w:basedOn w:val="Textkomente"/>
    <w:next w:val="Textkomente"/>
    <w:link w:val="PedmtkomenteChar"/>
    <w:uiPriority w:val="99"/>
    <w:semiHidden/>
    <w:unhideWhenUsed/>
    <w:rsid w:val="001868FA"/>
    <w:rPr>
      <w:b/>
      <w:bCs/>
    </w:rPr>
  </w:style>
  <w:style w:type="character" w:customStyle="1" w:styleId="PedmtkomenteChar">
    <w:name w:val="Předmět komentáře Char"/>
    <w:basedOn w:val="TextkomenteChar"/>
    <w:link w:val="Pedmtkomente"/>
    <w:uiPriority w:val="99"/>
    <w:semiHidden/>
    <w:rsid w:val="001868FA"/>
    <w:rPr>
      <w:b/>
      <w:bCs/>
      <w:sz w:val="20"/>
      <w:szCs w:val="20"/>
    </w:rPr>
  </w:style>
  <w:style w:type="paragraph" w:styleId="Textbubliny">
    <w:name w:val="Balloon Text"/>
    <w:basedOn w:val="Normln"/>
    <w:link w:val="TextbublinyChar"/>
    <w:uiPriority w:val="99"/>
    <w:semiHidden/>
    <w:unhideWhenUsed/>
    <w:rsid w:val="001868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68FA"/>
    <w:rPr>
      <w:rFonts w:ascii="Tahoma" w:hAnsi="Tahoma" w:cs="Tahoma"/>
      <w:sz w:val="16"/>
      <w:szCs w:val="16"/>
    </w:rPr>
  </w:style>
  <w:style w:type="paragraph" w:customStyle="1" w:styleId="Tabulkatext">
    <w:name w:val="Tabulka text"/>
    <w:link w:val="TabulkatextChar"/>
    <w:uiPriority w:val="6"/>
    <w:qFormat/>
    <w:rsid w:val="009A1ACA"/>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9A1ACA"/>
    <w:rPr>
      <w:color w:val="080808"/>
      <w:sz w:val="20"/>
    </w:rPr>
  </w:style>
  <w:style w:type="paragraph" w:customStyle="1" w:styleId="Nvod">
    <w:name w:val="Návod"/>
    <w:basedOn w:val="Normln"/>
    <w:rsid w:val="00101302"/>
    <w:pPr>
      <w:overflowPunct w:val="0"/>
      <w:autoSpaceDE w:val="0"/>
      <w:autoSpaceDN w:val="0"/>
      <w:adjustRightInd w:val="0"/>
      <w:spacing w:after="0" w:line="240" w:lineRule="auto"/>
      <w:ind w:left="340" w:hanging="340"/>
    </w:pPr>
    <w:rPr>
      <w:rFonts w:ascii="Times New Roman" w:eastAsia="Times New Roman" w:hAnsi="Times New Roman" w:cs="Times New Roman"/>
      <w:sz w:val="24"/>
      <w:szCs w:val="20"/>
      <w:lang w:eastAsia="cs-CZ"/>
    </w:rPr>
  </w:style>
  <w:style w:type="paragraph" w:customStyle="1" w:styleId="slovn">
    <w:name w:val="číslování"/>
    <w:basedOn w:val="Normln"/>
    <w:rsid w:val="00101302"/>
    <w:pPr>
      <w:numPr>
        <w:numId w:val="18"/>
      </w:numPr>
      <w:spacing w:after="0" w:line="240" w:lineRule="auto"/>
      <w:jc w:val="center"/>
    </w:pPr>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DF7CDA"/>
    <w:pPr>
      <w:spacing w:after="120"/>
    </w:pPr>
  </w:style>
  <w:style w:type="character" w:customStyle="1" w:styleId="ZkladntextChar">
    <w:name w:val="Základní text Char"/>
    <w:basedOn w:val="Standardnpsmoodstavce"/>
    <w:link w:val="Zkladntext"/>
    <w:uiPriority w:val="99"/>
    <w:semiHidden/>
    <w:rsid w:val="00DF7CDA"/>
  </w:style>
  <w:style w:type="numbering" w:customStyle="1" w:styleId="Bezseznamu1">
    <w:name w:val="Bez seznamu1"/>
    <w:next w:val="Bezseznamu"/>
    <w:uiPriority w:val="99"/>
    <w:semiHidden/>
    <w:unhideWhenUsed/>
    <w:rsid w:val="00DF7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EA7E2C"/>
    <w:pPr>
      <w:tabs>
        <w:tab w:val="center" w:pos="4536"/>
        <w:tab w:val="right" w:pos="9072"/>
      </w:tabs>
      <w:spacing w:after="0" w:line="240" w:lineRule="auto"/>
    </w:pPr>
  </w:style>
  <w:style w:type="character" w:customStyle="1" w:styleId="ZpatChar">
    <w:name w:val="Zápatí Char"/>
    <w:basedOn w:val="Standardnpsmoodstavce"/>
    <w:link w:val="Zpat"/>
    <w:uiPriority w:val="99"/>
    <w:rsid w:val="00EA7E2C"/>
  </w:style>
  <w:style w:type="paragraph" w:styleId="Zhlav">
    <w:name w:val="header"/>
    <w:basedOn w:val="Normln"/>
    <w:link w:val="ZhlavChar"/>
    <w:uiPriority w:val="99"/>
    <w:rsid w:val="00EA7E2C"/>
    <w:pPr>
      <w:tabs>
        <w:tab w:val="center" w:pos="4536"/>
        <w:tab w:val="right" w:pos="9072"/>
      </w:tabs>
      <w:spacing w:after="0" w:line="300" w:lineRule="exact"/>
      <w:jc w:val="both"/>
    </w:pPr>
    <w:rPr>
      <w:rFonts w:ascii="Arial" w:eastAsia="Times New Roman" w:hAnsi="Arial" w:cs="Times New Roman"/>
      <w:color w:val="000000"/>
      <w:szCs w:val="24"/>
      <w:lang w:eastAsia="cs-CZ"/>
    </w:rPr>
  </w:style>
  <w:style w:type="character" w:customStyle="1" w:styleId="ZhlavChar">
    <w:name w:val="Záhlaví Char"/>
    <w:basedOn w:val="Standardnpsmoodstavce"/>
    <w:link w:val="Zhlav"/>
    <w:uiPriority w:val="99"/>
    <w:rsid w:val="00EA7E2C"/>
    <w:rPr>
      <w:rFonts w:ascii="Arial" w:eastAsia="Times New Roman" w:hAnsi="Arial" w:cs="Times New Roman"/>
      <w:color w:val="000000"/>
      <w:szCs w:val="24"/>
      <w:lang w:eastAsia="cs-CZ"/>
    </w:rPr>
  </w:style>
  <w:style w:type="paragraph" w:styleId="Textpoznpodarou">
    <w:name w:val="footnote text"/>
    <w:basedOn w:val="Normln"/>
    <w:link w:val="TextpoznpodarouChar"/>
    <w:rsid w:val="00EA7E2C"/>
    <w:pPr>
      <w:spacing w:after="0" w:line="300" w:lineRule="exact"/>
      <w:jc w:val="both"/>
    </w:pPr>
    <w:rPr>
      <w:rFonts w:ascii="Arial" w:eastAsia="Times New Roman" w:hAnsi="Arial" w:cs="Times New Roman"/>
      <w:color w:val="000000"/>
      <w:sz w:val="20"/>
      <w:szCs w:val="20"/>
      <w:lang w:eastAsia="cs-CZ"/>
    </w:rPr>
  </w:style>
  <w:style w:type="character" w:customStyle="1" w:styleId="TextpoznpodarouChar">
    <w:name w:val="Text pozn. pod čarou Char"/>
    <w:basedOn w:val="Standardnpsmoodstavce"/>
    <w:link w:val="Textpoznpodarou"/>
    <w:rsid w:val="00EA7E2C"/>
    <w:rPr>
      <w:rFonts w:ascii="Arial" w:eastAsia="Times New Roman" w:hAnsi="Arial" w:cs="Times New Roman"/>
      <w:color w:val="000000"/>
      <w:sz w:val="20"/>
      <w:szCs w:val="20"/>
      <w:lang w:eastAsia="cs-CZ"/>
    </w:rPr>
  </w:style>
  <w:style w:type="character" w:styleId="Znakapoznpodarou">
    <w:name w:val="footnote reference"/>
    <w:rsid w:val="00EA7E2C"/>
    <w:rPr>
      <w:vertAlign w:val="superscript"/>
    </w:rPr>
  </w:style>
  <w:style w:type="paragraph" w:styleId="Odstavecseseznamem">
    <w:name w:val="List Paragraph"/>
    <w:basedOn w:val="Normln"/>
    <w:uiPriority w:val="34"/>
    <w:qFormat/>
    <w:rsid w:val="00EA7E2C"/>
    <w:pPr>
      <w:ind w:left="720"/>
      <w:contextualSpacing/>
    </w:pPr>
  </w:style>
  <w:style w:type="paragraph" w:styleId="Zkladntextodsazen">
    <w:name w:val="Body Text Indent"/>
    <w:basedOn w:val="Normln"/>
    <w:link w:val="ZkladntextodsazenChar"/>
    <w:rsid w:val="00BA00BF"/>
    <w:pPr>
      <w:spacing w:before="120" w:after="0" w:line="360" w:lineRule="auto"/>
      <w:ind w:firstLine="709"/>
      <w:jc w:val="both"/>
    </w:pPr>
    <w:rPr>
      <w:rFonts w:ascii="Arial" w:eastAsia="Times New Roman" w:hAnsi="Arial" w:cs="Times New Roman"/>
      <w:sz w:val="24"/>
      <w:szCs w:val="20"/>
      <w:lang w:eastAsia="cs-CZ"/>
    </w:rPr>
  </w:style>
  <w:style w:type="character" w:customStyle="1" w:styleId="ZkladntextodsazenChar">
    <w:name w:val="Základní text odsazený Char"/>
    <w:basedOn w:val="Standardnpsmoodstavce"/>
    <w:link w:val="Zkladntextodsazen"/>
    <w:rsid w:val="00BA00BF"/>
    <w:rPr>
      <w:rFonts w:ascii="Arial" w:eastAsia="Times New Roman" w:hAnsi="Arial" w:cs="Times New Roman"/>
      <w:sz w:val="24"/>
      <w:szCs w:val="20"/>
      <w:lang w:eastAsia="cs-CZ"/>
    </w:rPr>
  </w:style>
  <w:style w:type="character" w:styleId="Odkaznakoment">
    <w:name w:val="annotation reference"/>
    <w:basedOn w:val="Standardnpsmoodstavce"/>
    <w:uiPriority w:val="99"/>
    <w:semiHidden/>
    <w:unhideWhenUsed/>
    <w:rsid w:val="001868FA"/>
    <w:rPr>
      <w:sz w:val="16"/>
      <w:szCs w:val="16"/>
    </w:rPr>
  </w:style>
  <w:style w:type="paragraph" w:styleId="Textkomente">
    <w:name w:val="annotation text"/>
    <w:basedOn w:val="Normln"/>
    <w:link w:val="TextkomenteChar"/>
    <w:uiPriority w:val="99"/>
    <w:semiHidden/>
    <w:unhideWhenUsed/>
    <w:rsid w:val="001868FA"/>
    <w:pPr>
      <w:spacing w:line="240" w:lineRule="auto"/>
    </w:pPr>
    <w:rPr>
      <w:sz w:val="20"/>
      <w:szCs w:val="20"/>
    </w:rPr>
  </w:style>
  <w:style w:type="character" w:customStyle="1" w:styleId="TextkomenteChar">
    <w:name w:val="Text komentáře Char"/>
    <w:basedOn w:val="Standardnpsmoodstavce"/>
    <w:link w:val="Textkomente"/>
    <w:uiPriority w:val="99"/>
    <w:semiHidden/>
    <w:rsid w:val="001868FA"/>
    <w:rPr>
      <w:sz w:val="20"/>
      <w:szCs w:val="20"/>
    </w:rPr>
  </w:style>
  <w:style w:type="paragraph" w:styleId="Pedmtkomente">
    <w:name w:val="annotation subject"/>
    <w:basedOn w:val="Textkomente"/>
    <w:next w:val="Textkomente"/>
    <w:link w:val="PedmtkomenteChar"/>
    <w:uiPriority w:val="99"/>
    <w:semiHidden/>
    <w:unhideWhenUsed/>
    <w:rsid w:val="001868FA"/>
    <w:rPr>
      <w:b/>
      <w:bCs/>
    </w:rPr>
  </w:style>
  <w:style w:type="character" w:customStyle="1" w:styleId="PedmtkomenteChar">
    <w:name w:val="Předmět komentáře Char"/>
    <w:basedOn w:val="TextkomenteChar"/>
    <w:link w:val="Pedmtkomente"/>
    <w:uiPriority w:val="99"/>
    <w:semiHidden/>
    <w:rsid w:val="001868FA"/>
    <w:rPr>
      <w:b/>
      <w:bCs/>
      <w:sz w:val="20"/>
      <w:szCs w:val="20"/>
    </w:rPr>
  </w:style>
  <w:style w:type="paragraph" w:styleId="Textbubliny">
    <w:name w:val="Balloon Text"/>
    <w:basedOn w:val="Normln"/>
    <w:link w:val="TextbublinyChar"/>
    <w:uiPriority w:val="99"/>
    <w:semiHidden/>
    <w:unhideWhenUsed/>
    <w:rsid w:val="001868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68FA"/>
    <w:rPr>
      <w:rFonts w:ascii="Tahoma" w:hAnsi="Tahoma" w:cs="Tahoma"/>
      <w:sz w:val="16"/>
      <w:szCs w:val="16"/>
    </w:rPr>
  </w:style>
  <w:style w:type="paragraph" w:customStyle="1" w:styleId="Tabulkatext">
    <w:name w:val="Tabulka text"/>
    <w:link w:val="TabulkatextChar"/>
    <w:uiPriority w:val="6"/>
    <w:qFormat/>
    <w:rsid w:val="009A1ACA"/>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9A1ACA"/>
    <w:rPr>
      <w:color w:val="080808"/>
      <w:sz w:val="20"/>
    </w:rPr>
  </w:style>
  <w:style w:type="paragraph" w:customStyle="1" w:styleId="Nvod">
    <w:name w:val="Návod"/>
    <w:basedOn w:val="Normln"/>
    <w:rsid w:val="00101302"/>
    <w:pPr>
      <w:overflowPunct w:val="0"/>
      <w:autoSpaceDE w:val="0"/>
      <w:autoSpaceDN w:val="0"/>
      <w:adjustRightInd w:val="0"/>
      <w:spacing w:after="0" w:line="240" w:lineRule="auto"/>
      <w:ind w:left="340" w:hanging="340"/>
    </w:pPr>
    <w:rPr>
      <w:rFonts w:ascii="Times New Roman" w:eastAsia="Times New Roman" w:hAnsi="Times New Roman" w:cs="Times New Roman"/>
      <w:sz w:val="24"/>
      <w:szCs w:val="20"/>
      <w:lang w:eastAsia="cs-CZ"/>
    </w:rPr>
  </w:style>
  <w:style w:type="paragraph" w:customStyle="1" w:styleId="slovn">
    <w:name w:val="číslování"/>
    <w:basedOn w:val="Normln"/>
    <w:rsid w:val="00101302"/>
    <w:pPr>
      <w:numPr>
        <w:numId w:val="18"/>
      </w:numPr>
      <w:spacing w:after="0" w:line="240" w:lineRule="auto"/>
      <w:jc w:val="center"/>
    </w:pPr>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DF7CDA"/>
    <w:pPr>
      <w:spacing w:after="120"/>
    </w:pPr>
  </w:style>
  <w:style w:type="character" w:customStyle="1" w:styleId="ZkladntextChar">
    <w:name w:val="Základní text Char"/>
    <w:basedOn w:val="Standardnpsmoodstavce"/>
    <w:link w:val="Zkladntext"/>
    <w:uiPriority w:val="99"/>
    <w:semiHidden/>
    <w:rsid w:val="00DF7CDA"/>
  </w:style>
  <w:style w:type="numbering" w:customStyle="1" w:styleId="Bezseznamu1">
    <w:name w:val="Bez seznamu1"/>
    <w:next w:val="Bezseznamu"/>
    <w:uiPriority w:val="99"/>
    <w:semiHidden/>
    <w:unhideWhenUsed/>
    <w:rsid w:val="00DF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290">
      <w:bodyDiv w:val="1"/>
      <w:marLeft w:val="0"/>
      <w:marRight w:val="0"/>
      <w:marTop w:val="0"/>
      <w:marBottom w:val="0"/>
      <w:divBdr>
        <w:top w:val="none" w:sz="0" w:space="0" w:color="auto"/>
        <w:left w:val="none" w:sz="0" w:space="0" w:color="auto"/>
        <w:bottom w:val="none" w:sz="0" w:space="0" w:color="auto"/>
        <w:right w:val="none" w:sz="0" w:space="0" w:color="auto"/>
      </w:divBdr>
    </w:div>
    <w:div w:id="93333337">
      <w:bodyDiv w:val="1"/>
      <w:marLeft w:val="0"/>
      <w:marRight w:val="0"/>
      <w:marTop w:val="0"/>
      <w:marBottom w:val="0"/>
      <w:divBdr>
        <w:top w:val="none" w:sz="0" w:space="0" w:color="auto"/>
        <w:left w:val="none" w:sz="0" w:space="0" w:color="auto"/>
        <w:bottom w:val="none" w:sz="0" w:space="0" w:color="auto"/>
        <w:right w:val="none" w:sz="0" w:space="0" w:color="auto"/>
      </w:divBdr>
    </w:div>
    <w:div w:id="219094521">
      <w:bodyDiv w:val="1"/>
      <w:marLeft w:val="0"/>
      <w:marRight w:val="0"/>
      <w:marTop w:val="0"/>
      <w:marBottom w:val="0"/>
      <w:divBdr>
        <w:top w:val="none" w:sz="0" w:space="0" w:color="auto"/>
        <w:left w:val="none" w:sz="0" w:space="0" w:color="auto"/>
        <w:bottom w:val="none" w:sz="0" w:space="0" w:color="auto"/>
        <w:right w:val="none" w:sz="0" w:space="0" w:color="auto"/>
      </w:divBdr>
    </w:div>
    <w:div w:id="223953920">
      <w:bodyDiv w:val="1"/>
      <w:marLeft w:val="0"/>
      <w:marRight w:val="0"/>
      <w:marTop w:val="0"/>
      <w:marBottom w:val="0"/>
      <w:divBdr>
        <w:top w:val="none" w:sz="0" w:space="0" w:color="auto"/>
        <w:left w:val="none" w:sz="0" w:space="0" w:color="auto"/>
        <w:bottom w:val="none" w:sz="0" w:space="0" w:color="auto"/>
        <w:right w:val="none" w:sz="0" w:space="0" w:color="auto"/>
      </w:divBdr>
    </w:div>
    <w:div w:id="512688357">
      <w:bodyDiv w:val="1"/>
      <w:marLeft w:val="0"/>
      <w:marRight w:val="0"/>
      <w:marTop w:val="0"/>
      <w:marBottom w:val="0"/>
      <w:divBdr>
        <w:top w:val="none" w:sz="0" w:space="0" w:color="auto"/>
        <w:left w:val="none" w:sz="0" w:space="0" w:color="auto"/>
        <w:bottom w:val="none" w:sz="0" w:space="0" w:color="auto"/>
        <w:right w:val="none" w:sz="0" w:space="0" w:color="auto"/>
      </w:divBdr>
    </w:div>
    <w:div w:id="627051811">
      <w:bodyDiv w:val="1"/>
      <w:marLeft w:val="0"/>
      <w:marRight w:val="0"/>
      <w:marTop w:val="0"/>
      <w:marBottom w:val="0"/>
      <w:divBdr>
        <w:top w:val="none" w:sz="0" w:space="0" w:color="auto"/>
        <w:left w:val="none" w:sz="0" w:space="0" w:color="auto"/>
        <w:bottom w:val="none" w:sz="0" w:space="0" w:color="auto"/>
        <w:right w:val="none" w:sz="0" w:space="0" w:color="auto"/>
      </w:divBdr>
    </w:div>
    <w:div w:id="659774834">
      <w:bodyDiv w:val="1"/>
      <w:marLeft w:val="0"/>
      <w:marRight w:val="0"/>
      <w:marTop w:val="0"/>
      <w:marBottom w:val="0"/>
      <w:divBdr>
        <w:top w:val="none" w:sz="0" w:space="0" w:color="auto"/>
        <w:left w:val="none" w:sz="0" w:space="0" w:color="auto"/>
        <w:bottom w:val="none" w:sz="0" w:space="0" w:color="auto"/>
        <w:right w:val="none" w:sz="0" w:space="0" w:color="auto"/>
      </w:divBdr>
    </w:div>
    <w:div w:id="666175217">
      <w:bodyDiv w:val="1"/>
      <w:marLeft w:val="0"/>
      <w:marRight w:val="0"/>
      <w:marTop w:val="0"/>
      <w:marBottom w:val="0"/>
      <w:divBdr>
        <w:top w:val="none" w:sz="0" w:space="0" w:color="auto"/>
        <w:left w:val="none" w:sz="0" w:space="0" w:color="auto"/>
        <w:bottom w:val="none" w:sz="0" w:space="0" w:color="auto"/>
        <w:right w:val="none" w:sz="0" w:space="0" w:color="auto"/>
      </w:divBdr>
    </w:div>
    <w:div w:id="681469544">
      <w:bodyDiv w:val="1"/>
      <w:marLeft w:val="0"/>
      <w:marRight w:val="0"/>
      <w:marTop w:val="0"/>
      <w:marBottom w:val="0"/>
      <w:divBdr>
        <w:top w:val="none" w:sz="0" w:space="0" w:color="auto"/>
        <w:left w:val="none" w:sz="0" w:space="0" w:color="auto"/>
        <w:bottom w:val="none" w:sz="0" w:space="0" w:color="auto"/>
        <w:right w:val="none" w:sz="0" w:space="0" w:color="auto"/>
      </w:divBdr>
    </w:div>
    <w:div w:id="1028028568">
      <w:bodyDiv w:val="1"/>
      <w:marLeft w:val="0"/>
      <w:marRight w:val="0"/>
      <w:marTop w:val="0"/>
      <w:marBottom w:val="0"/>
      <w:divBdr>
        <w:top w:val="none" w:sz="0" w:space="0" w:color="auto"/>
        <w:left w:val="none" w:sz="0" w:space="0" w:color="auto"/>
        <w:bottom w:val="none" w:sz="0" w:space="0" w:color="auto"/>
        <w:right w:val="none" w:sz="0" w:space="0" w:color="auto"/>
      </w:divBdr>
    </w:div>
    <w:div w:id="1077244983">
      <w:bodyDiv w:val="1"/>
      <w:marLeft w:val="0"/>
      <w:marRight w:val="0"/>
      <w:marTop w:val="0"/>
      <w:marBottom w:val="0"/>
      <w:divBdr>
        <w:top w:val="none" w:sz="0" w:space="0" w:color="auto"/>
        <w:left w:val="none" w:sz="0" w:space="0" w:color="auto"/>
        <w:bottom w:val="none" w:sz="0" w:space="0" w:color="auto"/>
        <w:right w:val="none" w:sz="0" w:space="0" w:color="auto"/>
      </w:divBdr>
    </w:div>
    <w:div w:id="1091664825">
      <w:bodyDiv w:val="1"/>
      <w:marLeft w:val="0"/>
      <w:marRight w:val="0"/>
      <w:marTop w:val="0"/>
      <w:marBottom w:val="0"/>
      <w:divBdr>
        <w:top w:val="none" w:sz="0" w:space="0" w:color="auto"/>
        <w:left w:val="none" w:sz="0" w:space="0" w:color="auto"/>
        <w:bottom w:val="none" w:sz="0" w:space="0" w:color="auto"/>
        <w:right w:val="none" w:sz="0" w:space="0" w:color="auto"/>
      </w:divBdr>
    </w:div>
    <w:div w:id="1355614850">
      <w:bodyDiv w:val="1"/>
      <w:marLeft w:val="0"/>
      <w:marRight w:val="0"/>
      <w:marTop w:val="0"/>
      <w:marBottom w:val="0"/>
      <w:divBdr>
        <w:top w:val="none" w:sz="0" w:space="0" w:color="auto"/>
        <w:left w:val="none" w:sz="0" w:space="0" w:color="auto"/>
        <w:bottom w:val="none" w:sz="0" w:space="0" w:color="auto"/>
        <w:right w:val="none" w:sz="0" w:space="0" w:color="auto"/>
      </w:divBdr>
    </w:div>
    <w:div w:id="1634097383">
      <w:bodyDiv w:val="1"/>
      <w:marLeft w:val="0"/>
      <w:marRight w:val="0"/>
      <w:marTop w:val="0"/>
      <w:marBottom w:val="0"/>
      <w:divBdr>
        <w:top w:val="none" w:sz="0" w:space="0" w:color="auto"/>
        <w:left w:val="none" w:sz="0" w:space="0" w:color="auto"/>
        <w:bottom w:val="none" w:sz="0" w:space="0" w:color="auto"/>
        <w:right w:val="none" w:sz="0" w:space="0" w:color="auto"/>
      </w:divBdr>
    </w:div>
    <w:div w:id="1675257735">
      <w:bodyDiv w:val="1"/>
      <w:marLeft w:val="0"/>
      <w:marRight w:val="0"/>
      <w:marTop w:val="0"/>
      <w:marBottom w:val="0"/>
      <w:divBdr>
        <w:top w:val="none" w:sz="0" w:space="0" w:color="auto"/>
        <w:left w:val="none" w:sz="0" w:space="0" w:color="auto"/>
        <w:bottom w:val="none" w:sz="0" w:space="0" w:color="auto"/>
        <w:right w:val="none" w:sz="0" w:space="0" w:color="auto"/>
      </w:divBdr>
    </w:div>
    <w:div w:id="1957560930">
      <w:bodyDiv w:val="1"/>
      <w:marLeft w:val="0"/>
      <w:marRight w:val="0"/>
      <w:marTop w:val="0"/>
      <w:marBottom w:val="0"/>
      <w:divBdr>
        <w:top w:val="none" w:sz="0" w:space="0" w:color="auto"/>
        <w:left w:val="none" w:sz="0" w:space="0" w:color="auto"/>
        <w:bottom w:val="none" w:sz="0" w:space="0" w:color="auto"/>
        <w:right w:val="none" w:sz="0" w:space="0" w:color="auto"/>
      </w:divBdr>
    </w:div>
    <w:div w:id="202809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134F531519964B9234A81C7CF4E843" ma:contentTypeVersion="0" ma:contentTypeDescription="Vytvoří nový dokument" ma:contentTypeScope="" ma:versionID="d52131d4c32a52e22c7ae1585bf5cc5d">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97A20-E6E8-48DE-842C-86D0B4198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46726E-67CB-4EB1-B254-185C2C78FD69}">
  <ds:schemaRefs>
    <ds:schemaRef ds:uri="http://schemas.microsoft.com/sharepoint/v3/contenttype/forms"/>
  </ds:schemaRefs>
</ds:datastoreItem>
</file>

<file path=customXml/itemProps3.xml><?xml version="1.0" encoding="utf-8"?>
<ds:datastoreItem xmlns:ds="http://schemas.openxmlformats.org/officeDocument/2006/customXml" ds:itemID="{01C1C422-75B4-465D-BB9B-80D2E88223C6}">
  <ds:schemaRefs>
    <ds:schemaRef ds:uri="http://purl.org/dc/terms/"/>
    <ds:schemaRef ds:uri="http://purl.org/dc/dcmitype/"/>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2F7BC1B-FE03-4E54-B9BA-C216128F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6</Pages>
  <Words>1838</Words>
  <Characters>10850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12663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Turečková Simona Ing.</dc:creator>
  <cp:lastModifiedBy>Synek Michal MUDr. Mgr.</cp:lastModifiedBy>
  <cp:revision>34</cp:revision>
  <cp:lastPrinted>2017-09-27T09:38:00Z</cp:lastPrinted>
  <dcterms:created xsi:type="dcterms:W3CDTF">2017-01-11T12:58:00Z</dcterms:created>
  <dcterms:modified xsi:type="dcterms:W3CDTF">2017-10-06T09:46:00Z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0x0101004B134F531519964B9234A81C7CF4E843</vt:lpwstr>
  </property>
</Properties>
</file>