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06" w:rsidRPr="00422BDA" w:rsidRDefault="00790BE9" w:rsidP="00790BE9">
      <w:pPr>
        <w:spacing w:after="80" w:line="300" w:lineRule="exact"/>
        <w:jc w:val="center"/>
        <w:rPr>
          <w:rFonts w:ascii="Arial" w:eastAsia="Times New Roman" w:hAnsi="Arial" w:cs="Times New Roman"/>
          <w:b/>
          <w:color w:val="000000"/>
          <w:szCs w:val="24"/>
          <w:u w:val="single"/>
          <w:lang w:eastAsia="cs-CZ"/>
        </w:rPr>
      </w:pPr>
      <w:r w:rsidRPr="00422BDA">
        <w:rPr>
          <w:rFonts w:ascii="Arial" w:eastAsia="Times New Roman" w:hAnsi="Arial" w:cs="Times New Roman"/>
          <w:b/>
          <w:color w:val="000000"/>
          <w:szCs w:val="24"/>
          <w:u w:val="single"/>
          <w:lang w:eastAsia="cs-CZ"/>
        </w:rPr>
        <w:t>II.</w:t>
      </w:r>
      <w:r w:rsidR="00A81709" w:rsidRPr="00422BDA">
        <w:rPr>
          <w:rFonts w:ascii="Arial" w:eastAsia="Times New Roman" w:hAnsi="Arial" w:cs="Times New Roman"/>
          <w:b/>
          <w:color w:val="000000"/>
          <w:szCs w:val="24"/>
          <w:u w:val="single"/>
          <w:lang w:eastAsia="cs-CZ"/>
        </w:rPr>
        <w:t xml:space="preserve"> </w:t>
      </w:r>
      <w:r w:rsidR="00470ABD">
        <w:rPr>
          <w:rFonts w:ascii="Arial" w:eastAsia="Times New Roman" w:hAnsi="Arial" w:cs="Times New Roman"/>
          <w:b/>
          <w:color w:val="000000"/>
          <w:szCs w:val="24"/>
          <w:u w:val="single"/>
          <w:lang w:eastAsia="cs-CZ"/>
        </w:rPr>
        <w:t>ODŮVODNĚNÍ</w:t>
      </w:r>
    </w:p>
    <w:p w:rsidR="00422BDA" w:rsidRDefault="00422BDA" w:rsidP="00422BDA">
      <w:pPr>
        <w:spacing w:after="0" w:line="300" w:lineRule="atLeast"/>
        <w:rPr>
          <w:rFonts w:ascii="Arial" w:eastAsia="Times New Roman" w:hAnsi="Arial" w:cs="Arial"/>
          <w:b/>
          <w:sz w:val="24"/>
          <w:szCs w:val="24"/>
          <w:lang w:eastAsia="cs-CZ"/>
        </w:rPr>
      </w:pPr>
    </w:p>
    <w:p w:rsidR="00422BDA" w:rsidRPr="00753BB6" w:rsidRDefault="00422BDA" w:rsidP="00422BDA">
      <w:pPr>
        <w:spacing w:after="0" w:line="300" w:lineRule="atLeast"/>
        <w:rPr>
          <w:rFonts w:ascii="Arial" w:eastAsia="Times New Roman" w:hAnsi="Arial" w:cs="Arial"/>
          <w:b/>
          <w:sz w:val="24"/>
          <w:szCs w:val="24"/>
          <w:lang w:eastAsia="cs-CZ"/>
        </w:rPr>
      </w:pPr>
    </w:p>
    <w:p w:rsidR="00422BDA" w:rsidRPr="00753BB6" w:rsidRDefault="00422BDA" w:rsidP="00422BDA">
      <w:pPr>
        <w:widowControl w:val="0"/>
        <w:suppressAutoHyphens/>
        <w:spacing w:after="0" w:line="300" w:lineRule="auto"/>
        <w:jc w:val="both"/>
        <w:rPr>
          <w:rFonts w:ascii="Arial" w:eastAsia="Arial" w:hAnsi="Arial" w:cs="Arial"/>
          <w:b/>
          <w:spacing w:val="40"/>
          <w:u w:val="single"/>
          <w:lang w:eastAsia="cs-CZ"/>
        </w:rPr>
      </w:pPr>
      <w:r w:rsidRPr="00753BB6">
        <w:rPr>
          <w:rFonts w:ascii="Arial" w:eastAsia="Arial" w:hAnsi="Arial" w:cs="Arial"/>
          <w:b/>
          <w:spacing w:val="40"/>
          <w:u w:val="single"/>
          <w:lang w:eastAsia="cs-CZ"/>
        </w:rPr>
        <w:t>Název:</w:t>
      </w:r>
    </w:p>
    <w:p w:rsidR="00422BDA" w:rsidRPr="00753BB6" w:rsidRDefault="00422BDA" w:rsidP="00422BDA">
      <w:pPr>
        <w:widowControl w:val="0"/>
        <w:suppressAutoHyphens/>
        <w:spacing w:after="0" w:line="240" w:lineRule="auto"/>
        <w:jc w:val="both"/>
        <w:rPr>
          <w:rFonts w:ascii="Calibri" w:eastAsia="Calibri" w:hAnsi="Calibri" w:cs="Calibri"/>
          <w:b/>
          <w:lang w:eastAsia="cs-CZ"/>
        </w:rPr>
      </w:pPr>
      <w:r w:rsidRPr="00753BB6">
        <w:rPr>
          <w:rFonts w:ascii="Arial" w:eastAsia="Arial" w:hAnsi="Arial" w:cs="Arial"/>
          <w:b/>
          <w:lang w:eastAsia="cs-CZ"/>
        </w:rPr>
        <w:t>Návrh vyhlášky, kterou se mění vyhláška č. 376/2011 Sb., kterou se provádějí některá ustanovení zákona o veřejném zdravotním pojištění</w:t>
      </w:r>
    </w:p>
    <w:p w:rsidR="00422BDA" w:rsidRPr="00753BB6" w:rsidRDefault="00422BDA" w:rsidP="00422BDA">
      <w:pPr>
        <w:spacing w:after="80" w:line="300" w:lineRule="exact"/>
        <w:jc w:val="both"/>
        <w:rPr>
          <w:rFonts w:ascii="Arial" w:eastAsia="Times New Roman" w:hAnsi="Arial" w:cs="Times New Roman"/>
          <w:b/>
          <w:color w:val="000000"/>
          <w:szCs w:val="24"/>
          <w:lang w:eastAsia="cs-CZ"/>
        </w:rPr>
      </w:pPr>
    </w:p>
    <w:p w:rsidR="00422BDA" w:rsidRPr="00753BB6" w:rsidRDefault="00422BDA" w:rsidP="00422BDA">
      <w:pPr>
        <w:spacing w:after="0" w:line="300" w:lineRule="atLeast"/>
        <w:jc w:val="center"/>
        <w:rPr>
          <w:rFonts w:ascii="Arial" w:eastAsia="Times New Roman" w:hAnsi="Arial" w:cs="Arial"/>
          <w:b/>
          <w:sz w:val="24"/>
          <w:szCs w:val="24"/>
          <w:lang w:eastAsia="cs-CZ"/>
        </w:rPr>
      </w:pPr>
    </w:p>
    <w:p w:rsidR="00422BDA" w:rsidRPr="00753BB6" w:rsidRDefault="00422BDA" w:rsidP="00422BDA">
      <w:pPr>
        <w:spacing w:after="0" w:line="300" w:lineRule="atLeast"/>
        <w:rPr>
          <w:rFonts w:ascii="Arial" w:eastAsia="Times New Roman" w:hAnsi="Arial" w:cs="Arial"/>
          <w:b/>
          <w:spacing w:val="40"/>
          <w:u w:val="single"/>
          <w:lang w:eastAsia="cs-CZ"/>
        </w:rPr>
      </w:pPr>
      <w:r w:rsidRPr="00753BB6">
        <w:rPr>
          <w:rFonts w:ascii="Arial" w:eastAsia="Times New Roman" w:hAnsi="Arial" w:cs="Arial"/>
          <w:b/>
          <w:spacing w:val="40"/>
          <w:u w:val="single"/>
          <w:lang w:eastAsia="cs-CZ"/>
        </w:rPr>
        <w:t>1. Obecná část</w:t>
      </w:r>
    </w:p>
    <w:p w:rsidR="00422BDA" w:rsidRPr="00753BB6" w:rsidRDefault="00422BDA" w:rsidP="00422BDA">
      <w:pPr>
        <w:spacing w:after="0" w:line="300" w:lineRule="atLeast"/>
        <w:jc w:val="both"/>
        <w:rPr>
          <w:rFonts w:ascii="Arial" w:eastAsia="Times New Roman" w:hAnsi="Arial" w:cs="Arial"/>
          <w:b/>
          <w:lang w:eastAsia="cs-CZ"/>
        </w:rPr>
      </w:pPr>
      <w:bookmarkStart w:id="0" w:name="_GoBack"/>
      <w:bookmarkEnd w:id="0"/>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a) Vysvětlení nezbytnosti navrhované právní úpravy, odůvodnění jejích hlavních principů</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Návrh vyhlášky, kterou se mění vyhláška č. 376/2011 Sb., je prováděcím právním předpisem zákona č. 48/1997 Sb., o veřejném zdravotním pojištění a o změně a doplnění některých souvisejících zákonů, ve znění pozdějších předpisů (dále jen „zákon č. 48/1997 Sb.“).</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Návrhem novely vyhlášky se reaguje na skutečnost, že některá ustanovení vyhlášky č. 376/2011 Sb., kterou se provádějí některá ustanovení zákona </w:t>
      </w:r>
      <w:r w:rsidR="002E0479">
        <w:rPr>
          <w:rFonts w:ascii="Arial" w:eastAsia="Times New Roman" w:hAnsi="Arial" w:cs="Arial"/>
          <w:lang w:eastAsia="cs-CZ"/>
        </w:rPr>
        <w:t>č. 48/1997 Sb.</w:t>
      </w:r>
      <w:r w:rsidRPr="00753BB6">
        <w:rPr>
          <w:rFonts w:ascii="Arial" w:eastAsia="Times New Roman" w:hAnsi="Arial" w:cs="Arial"/>
          <w:lang w:eastAsia="cs-CZ"/>
        </w:rPr>
        <w:t xml:space="preserve"> (dále jen „vyhláška č. 376/2011 Sb.“), se za dobu od nabytí její účinnosti stala překonaná a neodpovídající potřebám praxe. Zejména se jedná o ustanovení týkající se vysoce inovativních léčivých přípravků, která jsou soustředěna v části páté, a některá další ustanovení vyhlášky č.  376/2011 Sb.</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Vysoce inovativní léčivé přípravky představují specifickou kategorii léčivých přípravků hrazených z prostředků veřejného zdravotního pojištění. Právní úprava vysoce inovativních léčivých přípravků je obsažena v zákoně č. 48/1997 Sb. a ve vyhlášce č. 376/2011 Sb. Vysoce inovativním přípravkem se podle ustanovení § 39a odst. 8 a § 39d odst. 1 ve spojení s odst. 6 zákona č. 48/1997 Sb. rozumí takový léčivý přípravek nebo potravina pro zvláštní lékařské účely</w:t>
      </w:r>
      <w:r w:rsidR="00540A95">
        <w:rPr>
          <w:rFonts w:ascii="Arial" w:eastAsia="Times New Roman" w:hAnsi="Arial" w:cs="Arial"/>
          <w:lang w:eastAsia="cs-CZ"/>
        </w:rPr>
        <w:t xml:space="preserve"> (dále jen „léčivý přípravek“)</w:t>
      </w:r>
      <w:r w:rsidRPr="00753BB6">
        <w:rPr>
          <w:rFonts w:ascii="Arial" w:eastAsia="Times New Roman" w:hAnsi="Arial" w:cs="Arial"/>
          <w:lang w:eastAsia="cs-CZ"/>
        </w:rPr>
        <w:t xml:space="preserve">, u které dosud není znám dostatek údajů o nákladové efektivitě nebo výsledcích léčby při použití v klinické praxi pro léčbu vysoce závažných onemocnění, která dosud nebyla ovlivnitelná jiným léčivým přípravkem nebo potravinou pro zvláštní lékařské účely nebo představuje zásadní zlepšení léčby. Tyto léčivé přípravky mohou být dle stávající právní úpravy zařazeny do systému úhrad formou dočasné úhrady, </w:t>
      </w:r>
      <w:r w:rsidR="00C42376">
        <w:rPr>
          <w:rFonts w:ascii="Arial" w:eastAsia="Times New Roman" w:hAnsi="Arial" w:cs="Arial"/>
          <w:lang w:eastAsia="cs-CZ"/>
        </w:rPr>
        <w:t xml:space="preserve">je-li to ve veřejném zájmu a </w:t>
      </w:r>
      <w:r w:rsidRPr="00753BB6">
        <w:rPr>
          <w:rFonts w:ascii="Arial" w:eastAsia="Times New Roman" w:hAnsi="Arial" w:cs="Arial"/>
          <w:lang w:eastAsia="cs-CZ"/>
        </w:rPr>
        <w:t xml:space="preserve">odůvodňují-li dostupné údaje dostatečně průkazně přínos vysoce inovativního přípravku pro léčbu, dále splňuje-li vysoce inovativní přípravek ostatní podmínky pro stanovení úhrady a je-li hrazen z veřejných prostředků alespoň ve 2 zemích referenčního koše. Podmínkou pro přiznání dočasné úhrady vysoce inovativnímu léčivému přípravku je podle ustanovení § 39d odst. 3 zákona č. 48/1997 Sb. také předem daný závazek žadatele zajistit průběžné hodnocení terapie posuzovaným vysoce inovativním přípravkem, limitaci dopadu dočasné úhrady na finanční prostředky zdravotního pojištění, hodnocení nákladové efektivity a hrazení nákladů na doléčení pacienta vysoce inovativním přípravkem po uplynutí doby, na kterou byla stanovena dočasná úhrada až do převedení pacienta na jinou terapii. Podle ustanovení § 39d odst. 2 zákona č. 48/1997 Sb. in fine platí, že mezi podmínkami úhrady vysoce inovativního přípravku je vždy podání na </w:t>
      </w:r>
      <w:r w:rsidRPr="00753BB6">
        <w:rPr>
          <w:rFonts w:ascii="Arial" w:eastAsia="Times New Roman" w:hAnsi="Arial" w:cs="Arial"/>
          <w:lang w:eastAsia="cs-CZ"/>
        </w:rPr>
        <w:lastRenderedPageBreak/>
        <w:t xml:space="preserve">specializovaném pracovišti.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 (§ 15 odst. 10 zákona č. 48/1997 Sb.). Podle § 39 vyhlášky č. 376/2011 Sb. (přípravky specializované péče) platí, že u vysoce inovativního přípravku, kterému je stanovena dočasná úhrada podle § 39d zákona č. 48/1997 Sb., Ústav vždy v rozhodnutí označí přípravek, jehož použití je s ohledem na veřejný zájem účelné soustředit do specializovaných pracovišť podle § 15 odst. 10 zákona č. 48/1997 Sb., symbolem „S“. Takový </w:t>
      </w:r>
      <w:r w:rsidR="00540A95">
        <w:rPr>
          <w:rFonts w:ascii="Arial" w:eastAsia="Times New Roman" w:hAnsi="Arial" w:cs="Arial"/>
          <w:lang w:eastAsia="cs-CZ"/>
        </w:rPr>
        <w:t xml:space="preserve">léčivý </w:t>
      </w:r>
      <w:r w:rsidRPr="00753BB6">
        <w:rPr>
          <w:rFonts w:ascii="Arial" w:eastAsia="Times New Roman" w:hAnsi="Arial" w:cs="Arial"/>
          <w:lang w:eastAsia="cs-CZ"/>
        </w:rPr>
        <w:t xml:space="preserve">přípravek účtuje jako zvlášť účtovaný přípravek zdravotní pojišťovně pouze specializované pracoviště, a to na základě smlouvy uzavřené mezi ním a zdravotní pojišťovnou. </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Charakteristické pro vysoce inovativní léčivé přípravky je, že jsou z povahy věci dražší než alternativní léčba či </w:t>
      </w:r>
      <w:r w:rsidR="00C42376">
        <w:rPr>
          <w:rFonts w:ascii="Arial" w:eastAsia="Times New Roman" w:hAnsi="Arial" w:cs="Arial"/>
          <w:lang w:eastAsia="cs-CZ"/>
        </w:rPr>
        <w:t>nemají žádnou alternativu v podobě léčivého přípravku.</w:t>
      </w:r>
      <w:r w:rsidRPr="00753BB6">
        <w:rPr>
          <w:rFonts w:ascii="Arial" w:eastAsia="Times New Roman" w:hAnsi="Arial" w:cs="Arial"/>
          <w:lang w:eastAsia="cs-CZ"/>
        </w:rPr>
        <w:t xml:space="preserve"> Z dostupných údajů shromážděných pojišťovnami, coby subjekty s podrobným a aktuálním přehledem o výdajích na hrazené služby, vyplývá, že výdaje z prostředků veřejného zdravotního pojištění na vysoce inovativní léčivé přípravky se v uplynulých letech zvýšily v řádech několika miliard korun a i nadále nezadržitelně rostou. Důvodem nárůstu nákladů je zejména příchod nových vysoce inovativních léčivých přípravků na trh, ale také rozšiřování indikací, ve kterých je možné použít ty vysoce inovativní léčivé přípravky, které už na trhu jsou. </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Strmý nárůst výdajů zdravotních pojišťoven na úhradu vysoce inovativních léčivých přípravků vede k tomu, že finanční limity veřejného zdravotního pojištění se zužují a další setrvání v systému umožňujícímu vstup těchto nákladných léčiv do systému úhrad za široce definovaných podmínek beze změny by mohlo ohrozit finanční stabilitu fondu veřejného zdravotního pojištění. Jedním z hlavních principů veřejného zdravotního pojištění je přitom právě ochrana veřejného zájmu na zajištění kvality a dostupnosti hrazených služeb, fungování systému zdravotnictví a jeho stability v rámci finančních možností systému veřejného zdravotního pojištění, jak je definován v ustanovení § 17 odst. 2 zákona č. 48/1997 Sb. Jednotlivé pilíře, na kterých je systém veřejného zdravotního pojištění postaven, jsou přitom navzájem úzce provázané. Dojde-li k podstatnému narušení nebo zhroucení jeho finanční stability, závažně tím bude poznamenána rovněž kvalita a dostupnost hrazených služeb a celého systému zdravotnictví. Z uvedeného důvodu je nutné takové situaci předejít, a to provedením dílčích změn, které povedou k racionalizaci výdajů veřejného zdravotního pojištění vynaložených na vysoce inovativní léčivé přípravky při současném šetření práv pacientů na dostupnost hrazených služeb a zajištění její kvality.</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color w:val="000000"/>
          <w:sz w:val="20"/>
          <w:szCs w:val="20"/>
          <w:lang w:eastAsia="cs-CZ"/>
        </w:rPr>
      </w:pPr>
      <w:r w:rsidRPr="00753BB6">
        <w:rPr>
          <w:rFonts w:ascii="Arial" w:eastAsia="Times New Roman" w:hAnsi="Arial" w:cs="Arial"/>
          <w:b/>
          <w:lang w:eastAsia="cs-CZ"/>
        </w:rPr>
        <w:t xml:space="preserve">Odůvodnění hlavních principů navrhované právní úpravy. </w:t>
      </w:r>
      <w:r w:rsidRPr="00753BB6">
        <w:rPr>
          <w:rFonts w:ascii="Arial" w:eastAsia="Times New Roman" w:hAnsi="Arial" w:cs="Arial"/>
          <w:lang w:eastAsia="cs-CZ"/>
        </w:rPr>
        <w:t>Návrh novely vyhlášky neusiluje o komplexní změnu platné právní úpravy vysoce inovativních léčivých přípravků, nýbrž o provedení dílčích změn v systému úhrad, které povedou k efektivnější regulaci úhrad této kategorie léčivých přípravků, a tím nejen k racionalizaci výdajů z prostředků zdravotního pojištění, ale zároveň k zajištění toho, že terapie vysoce inovativními přípravky se bude vyznačovat co nejpřesvědčivější účinností.</w:t>
      </w:r>
      <w:r w:rsidRPr="00753BB6">
        <w:rPr>
          <w:rFonts w:ascii="Arial" w:eastAsia="Times New Roman" w:hAnsi="Arial" w:cs="Arial"/>
          <w:color w:val="000000"/>
          <w:sz w:val="20"/>
          <w:szCs w:val="20"/>
          <w:lang w:eastAsia="cs-CZ"/>
        </w:rPr>
        <w:t xml:space="preserve"> </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Cílem navrhované novelizace je podmínění vstupu vysoce inovativních přípravků do systému úhrad přísnějšími požadavky, a to odstraněním některých stávajících parametrů</w:t>
      </w:r>
      <w:r w:rsidR="00433BDF">
        <w:rPr>
          <w:rFonts w:ascii="Arial" w:eastAsia="Times New Roman" w:hAnsi="Arial" w:cs="Arial"/>
          <w:lang w:eastAsia="cs-CZ"/>
        </w:rPr>
        <w:t xml:space="preserve"> a </w:t>
      </w:r>
      <w:r w:rsidR="00454142">
        <w:rPr>
          <w:rFonts w:ascii="Arial" w:eastAsia="Times New Roman" w:hAnsi="Arial" w:cs="Arial"/>
          <w:lang w:eastAsia="cs-CZ"/>
        </w:rPr>
        <w:t>úpravou</w:t>
      </w:r>
      <w:r w:rsidR="00433BDF">
        <w:rPr>
          <w:rFonts w:ascii="Arial" w:eastAsia="Times New Roman" w:hAnsi="Arial" w:cs="Arial"/>
          <w:lang w:eastAsia="cs-CZ"/>
        </w:rPr>
        <w:t xml:space="preserve"> zbývajících parametrů.</w:t>
      </w:r>
      <w:r w:rsidRPr="00753BB6" w:rsidDel="00A61C89">
        <w:rPr>
          <w:rFonts w:ascii="Arial" w:eastAsia="Times New Roman" w:hAnsi="Arial" w:cs="Arial"/>
          <w:lang w:eastAsia="cs-CZ"/>
        </w:rPr>
        <w:t xml:space="preserve"> </w:t>
      </w:r>
      <w:r w:rsidR="00433BDF">
        <w:rPr>
          <w:rFonts w:ascii="Arial" w:eastAsia="Times New Roman" w:hAnsi="Arial" w:cs="Arial"/>
          <w:lang w:eastAsia="cs-CZ"/>
        </w:rPr>
        <w:t>Cílem je také</w:t>
      </w:r>
      <w:r w:rsidRPr="00753BB6">
        <w:rPr>
          <w:rFonts w:ascii="Arial" w:eastAsia="Times New Roman" w:hAnsi="Arial" w:cs="Arial"/>
          <w:lang w:eastAsia="cs-CZ"/>
        </w:rPr>
        <w:t xml:space="preserve"> dosáhn</w:t>
      </w:r>
      <w:r w:rsidR="00433BDF">
        <w:rPr>
          <w:rFonts w:ascii="Arial" w:eastAsia="Times New Roman" w:hAnsi="Arial" w:cs="Arial"/>
          <w:lang w:eastAsia="cs-CZ"/>
        </w:rPr>
        <w:t>out</w:t>
      </w:r>
      <w:r w:rsidRPr="00753BB6">
        <w:rPr>
          <w:rFonts w:ascii="Arial" w:eastAsia="Times New Roman" w:hAnsi="Arial" w:cs="Arial"/>
          <w:lang w:eastAsia="cs-CZ"/>
        </w:rPr>
        <w:t xml:space="preserve"> zamezení existence několika srovnatelně účinných léčivých přípravků se statusem vysoce inovativního léčivého přípravku. </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Navrhovaná právní úprava také zvyšuje možnost zohlednění změn maximálních cen výrobce v zemích Evropské unie v souvislosti s vypršením patentové ochrany originálních léčivých přípravků. </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Dále se významně </w:t>
      </w:r>
      <w:r w:rsidR="00DC7297">
        <w:rPr>
          <w:rFonts w:ascii="Arial" w:eastAsia="Times New Roman" w:hAnsi="Arial" w:cs="Arial"/>
          <w:lang w:eastAsia="cs-CZ"/>
        </w:rPr>
        <w:t>doplňuje</w:t>
      </w:r>
      <w:r w:rsidRPr="00753BB6">
        <w:rPr>
          <w:rFonts w:ascii="Arial" w:eastAsia="Times New Roman" w:hAnsi="Arial" w:cs="Arial"/>
          <w:lang w:eastAsia="cs-CZ"/>
        </w:rPr>
        <w:t xml:space="preserve"> závazek žadatele o úhradu vysoce inovativního léčivého přípravku vůči smluvním stranám podle ustanovení § 39f odst. 2 zákona č. 48/1997 Sb., tj. zejména zdravotním pojišťovnám. Nově se v případě uzavření písemné smlouvy o limitaci nákladů vyhláškou ukládá, aby v takovém smluvním ujednání bylo upraveno, aby porušení smluvních povinností bylo spojeno se sankcí. </w:t>
      </w:r>
    </w:p>
    <w:p w:rsidR="00422BDA" w:rsidRPr="00753BB6" w:rsidRDefault="00422BDA" w:rsidP="00422BDA">
      <w:pPr>
        <w:suppressAutoHyphens/>
        <w:spacing w:after="0" w:line="300" w:lineRule="atLeast"/>
        <w:jc w:val="both"/>
        <w:rPr>
          <w:rFonts w:ascii="Arial" w:eastAsia="Times New Roman" w:hAnsi="Arial" w:cs="Arial"/>
          <w:color w:val="000000"/>
          <w:lang w:eastAsia="cs-CZ"/>
        </w:rPr>
      </w:pPr>
    </w:p>
    <w:p w:rsidR="00422BDA" w:rsidRPr="00753BB6" w:rsidRDefault="00422BDA" w:rsidP="00422BDA">
      <w:pPr>
        <w:suppressAutoHyphens/>
        <w:spacing w:after="0" w:line="300" w:lineRule="atLeast"/>
        <w:jc w:val="both"/>
        <w:rPr>
          <w:rFonts w:ascii="Arial" w:eastAsia="Times New Roman" w:hAnsi="Arial" w:cs="Arial"/>
          <w:b/>
          <w:color w:val="000000"/>
          <w:lang w:eastAsia="cs-CZ"/>
        </w:rPr>
      </w:pPr>
      <w:r w:rsidRPr="00753BB6">
        <w:rPr>
          <w:rFonts w:ascii="Arial" w:eastAsia="Times New Roman" w:hAnsi="Arial" w:cs="Arial"/>
          <w:b/>
          <w:color w:val="000000"/>
          <w:lang w:eastAsia="cs-CZ"/>
        </w:rPr>
        <w:t>b) Zhodnocení souladu navrhované právní úpravy se zákonem, k jehož provedení je navržena, včetně souladu se zákonným zmocněním k jejímu vydání</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Předložený návrh vyhlášky, kterou se mění vyhláška č. 376/2011 Sb., je v souladu se zákonem </w:t>
      </w:r>
      <w:r w:rsidR="002E0479">
        <w:rPr>
          <w:rFonts w:ascii="Arial" w:eastAsia="Times New Roman" w:hAnsi="Arial" w:cs="Arial"/>
          <w:lang w:eastAsia="cs-CZ"/>
        </w:rPr>
        <w:t>č. 48/1997 Sb.</w:t>
      </w:r>
      <w:r w:rsidRPr="00753BB6">
        <w:rPr>
          <w:rFonts w:ascii="Arial" w:eastAsia="Times New Roman" w:hAnsi="Arial" w:cs="Arial"/>
          <w:lang w:eastAsia="cs-CZ"/>
        </w:rPr>
        <w:t xml:space="preserve">, k jehož provedení je navržena, a respektuje rozsah a meze zákonných zmocnění k jejímu vydání (§ 39a odst. 3, § 39b odst. 14, § 39c odst. 11, § 39d odst. </w:t>
      </w:r>
      <w:smartTag w:uri="urn:schemas-microsoft-com:office:smarttags" w:element="metricconverter">
        <w:smartTagPr>
          <w:attr w:name="ProductID" w:val="6 a"/>
        </w:smartTagPr>
        <w:r w:rsidRPr="00753BB6">
          <w:rPr>
            <w:rFonts w:ascii="Arial" w:eastAsia="Times New Roman" w:hAnsi="Arial" w:cs="Arial"/>
            <w:lang w:eastAsia="cs-CZ"/>
          </w:rPr>
          <w:t>6 a</w:t>
        </w:r>
      </w:smartTag>
      <w:r w:rsidRPr="00753BB6">
        <w:rPr>
          <w:rFonts w:ascii="Arial" w:eastAsia="Times New Roman" w:hAnsi="Arial" w:cs="Arial"/>
          <w:lang w:eastAsia="cs-CZ"/>
        </w:rPr>
        <w:t xml:space="preserve"> </w:t>
      </w:r>
      <w:smartTag w:uri="urn:schemas-microsoft-com:office:smarttags" w:element="metricconverter">
        <w:smartTagPr>
          <w:attr w:name="ProductID" w:val="7 a"/>
        </w:smartTagPr>
        <w:r w:rsidRPr="00753BB6">
          <w:rPr>
            <w:rFonts w:ascii="Arial" w:eastAsia="Times New Roman" w:hAnsi="Arial" w:cs="Arial"/>
            <w:lang w:eastAsia="cs-CZ"/>
          </w:rPr>
          <w:t>7 a</w:t>
        </w:r>
      </w:smartTag>
      <w:r w:rsidRPr="00753BB6">
        <w:rPr>
          <w:rFonts w:ascii="Arial" w:eastAsia="Times New Roman" w:hAnsi="Arial" w:cs="Arial"/>
          <w:lang w:eastAsia="cs-CZ"/>
        </w:rPr>
        <w:t xml:space="preserve"> § </w:t>
      </w:r>
      <w:smartTag w:uri="urn:schemas-microsoft-com:office:smarttags" w:element="metricconverter">
        <w:smartTagPr>
          <w:attr w:name="ProductID" w:val="39f"/>
        </w:smartTagPr>
        <w:r w:rsidRPr="00753BB6">
          <w:rPr>
            <w:rFonts w:ascii="Arial" w:eastAsia="Times New Roman" w:hAnsi="Arial" w:cs="Arial"/>
            <w:lang w:eastAsia="cs-CZ"/>
          </w:rPr>
          <w:t>39f</w:t>
        </w:r>
      </w:smartTag>
      <w:r w:rsidRPr="00753BB6">
        <w:rPr>
          <w:rFonts w:ascii="Arial" w:eastAsia="Times New Roman" w:hAnsi="Arial" w:cs="Arial"/>
          <w:lang w:eastAsia="cs-CZ"/>
        </w:rPr>
        <w:t xml:space="preserve"> odst. 7).</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c) Zhodnocení souladu navrhované právní úpravy s předpisy Evropské unie, judikaturou soudních orgánů Evropské unie a obecnými právními zásadami práva Evropské unie</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color w:val="000000"/>
          <w:lang w:eastAsia="cs-CZ"/>
        </w:rPr>
      </w:pPr>
      <w:r w:rsidRPr="00753BB6">
        <w:rPr>
          <w:rFonts w:ascii="Arial" w:eastAsia="Times New Roman" w:hAnsi="Arial" w:cs="Arial"/>
          <w:lang w:eastAsia="cs-CZ"/>
        </w:rPr>
        <w:t xml:space="preserve">Oblast regulace cen a úhrad léčiv je plně v kompetenci členských států EU za současného souladu s principy a ustanoveními Směrnice č. 89/105/EHS, o průhlednosti opatření upravujících tvorbu cen u humánních léčivých přípravků a jejich začlenění do oblasti působnosti vnitrostátních systémů zdravotního pojištění. Navrhovaná právní úprava je v souladu s touto směrnicí, stejně jako s příslušnou judikaturou ESD </w:t>
      </w:r>
      <w:r w:rsidRPr="00753BB6">
        <w:rPr>
          <w:rFonts w:ascii="Arial" w:eastAsia="Times New Roman" w:hAnsi="Arial" w:cs="Arial"/>
          <w:color w:val="000000"/>
          <w:lang w:eastAsia="cs-CZ"/>
        </w:rPr>
        <w:t>– např. C-296/03 (</w:t>
      </w:r>
      <w:proofErr w:type="spellStart"/>
      <w:r w:rsidRPr="00753BB6">
        <w:rPr>
          <w:rFonts w:ascii="Arial" w:eastAsia="Times New Roman" w:hAnsi="Arial" w:cs="Arial"/>
          <w:color w:val="000000"/>
          <w:lang w:eastAsia="cs-CZ"/>
        </w:rPr>
        <w:t>GlaxoSmithKline</w:t>
      </w:r>
      <w:proofErr w:type="spellEnd"/>
      <w:r w:rsidRPr="00753BB6">
        <w:rPr>
          <w:rFonts w:ascii="Arial" w:eastAsia="Times New Roman" w:hAnsi="Arial" w:cs="Arial"/>
          <w:color w:val="000000"/>
          <w:lang w:eastAsia="cs-CZ"/>
        </w:rPr>
        <w:t xml:space="preserve"> vs. Belgie), C-245/03 (Merck, Sharp &amp; </w:t>
      </w:r>
      <w:proofErr w:type="spellStart"/>
      <w:r w:rsidRPr="00753BB6">
        <w:rPr>
          <w:rFonts w:ascii="Arial" w:eastAsia="Times New Roman" w:hAnsi="Arial" w:cs="Arial"/>
          <w:color w:val="000000"/>
          <w:lang w:eastAsia="cs-CZ"/>
        </w:rPr>
        <w:t>Dohme</w:t>
      </w:r>
      <w:proofErr w:type="spellEnd"/>
      <w:r w:rsidRPr="00753BB6">
        <w:rPr>
          <w:rFonts w:ascii="Arial" w:eastAsia="Times New Roman" w:hAnsi="Arial" w:cs="Arial"/>
          <w:color w:val="000000"/>
          <w:lang w:eastAsia="cs-CZ"/>
        </w:rPr>
        <w:t xml:space="preserve"> BV vs. Belgie), C-255/00 (Grundig </w:t>
      </w:r>
      <w:proofErr w:type="spellStart"/>
      <w:r w:rsidRPr="00753BB6">
        <w:rPr>
          <w:rFonts w:ascii="Arial" w:eastAsia="Times New Roman" w:hAnsi="Arial" w:cs="Arial"/>
          <w:color w:val="000000"/>
          <w:lang w:eastAsia="cs-CZ"/>
        </w:rPr>
        <w:t>Italiana</w:t>
      </w:r>
      <w:proofErr w:type="spellEnd"/>
      <w:r w:rsidRPr="00753BB6">
        <w:rPr>
          <w:rFonts w:ascii="Arial" w:eastAsia="Times New Roman" w:hAnsi="Arial" w:cs="Arial"/>
          <w:color w:val="000000"/>
          <w:lang w:eastAsia="cs-CZ"/>
        </w:rPr>
        <w:t>), C-229/00 (Komise vs. Finská republika), C-424/99 (Komise vs. Rakouská republika), C-62/09 (ABPI), C-352/07 (</w:t>
      </w:r>
      <w:proofErr w:type="spellStart"/>
      <w:r w:rsidRPr="00753BB6">
        <w:rPr>
          <w:rFonts w:ascii="Arial" w:eastAsia="Times New Roman" w:hAnsi="Arial" w:cs="Arial"/>
          <w:color w:val="000000"/>
          <w:lang w:eastAsia="cs-CZ"/>
        </w:rPr>
        <w:t>Menarini</w:t>
      </w:r>
      <w:proofErr w:type="spellEnd"/>
      <w:r w:rsidRPr="00753BB6">
        <w:rPr>
          <w:rFonts w:ascii="Arial" w:eastAsia="Times New Roman" w:hAnsi="Arial" w:cs="Arial"/>
          <w:color w:val="000000"/>
          <w:lang w:eastAsia="cs-CZ"/>
        </w:rPr>
        <w:t>), C-471/07 (AGIM).</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d) Zhodnocení platného právního stavu a odůvodnění nezbytnosti jeho změny</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lang w:eastAsia="cs-CZ"/>
        </w:rPr>
        <w:t xml:space="preserve">Vyhláška č. 376/2011 Sb. byla přijata dne 1. prosince 2011 a nabyla účinnosti 7. prosince 2011. Návrhem novely vyhlášky se reaguje na skutečnost, že některá ustanovení vyhlášky č. 376/2011 Sb., se za dobu od nabytí její účinnosti stala překonanými a neodpovídajícími potřebám praxe. Zejména se jedná právě o ustanovení týkající se vysoce inovativních léčivých přípravků, která jsou soustředěna v části páté, a některá další ustanovení vyhlášky č.  376/2011 Sb. </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e) 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Cs/>
          <w:lang w:eastAsia="cs-CZ"/>
        </w:rPr>
      </w:pPr>
      <w:r w:rsidRPr="00753BB6">
        <w:rPr>
          <w:rFonts w:ascii="Arial" w:eastAsia="Times New Roman" w:hAnsi="Arial" w:cs="Arial"/>
          <w:bCs/>
          <w:lang w:eastAsia="cs-CZ"/>
        </w:rPr>
        <w:t>Návrh se týká podnikatelských subjektů v odvětví farmacie, a to držitelů rozhodnutí o registraci léčivých přípravků, zejména vysoce inovativních léčivých přípravků.</w:t>
      </w:r>
    </w:p>
    <w:p w:rsidR="00422BDA" w:rsidRPr="00753BB6" w:rsidRDefault="00422BDA" w:rsidP="00422BDA">
      <w:pPr>
        <w:spacing w:after="0" w:line="300" w:lineRule="atLeast"/>
        <w:jc w:val="both"/>
        <w:rPr>
          <w:rFonts w:ascii="Arial" w:eastAsia="Times New Roman" w:hAnsi="Arial" w:cs="Arial"/>
          <w:bCs/>
          <w:lang w:eastAsia="cs-CZ"/>
        </w:rPr>
      </w:pPr>
      <w:r w:rsidRPr="00753BB6">
        <w:rPr>
          <w:rFonts w:ascii="Arial" w:eastAsia="Times New Roman" w:hAnsi="Arial" w:cs="Arial"/>
          <w:bCs/>
          <w:lang w:eastAsia="cs-CZ"/>
        </w:rPr>
        <w:t xml:space="preserve">Navrhovaná právní úprava má pozitivní dopad na rozpočet veřejného zdravotního pojištění, který je však dopředu obtížně analyzovatelný, neboť systém cen a úhrad léčivých přípravků ovlivňují i </w:t>
      </w:r>
      <w:proofErr w:type="spellStart"/>
      <w:r w:rsidRPr="00753BB6">
        <w:rPr>
          <w:rFonts w:ascii="Arial" w:eastAsia="Times New Roman" w:hAnsi="Arial" w:cs="Arial"/>
          <w:bCs/>
          <w:lang w:eastAsia="cs-CZ"/>
        </w:rPr>
        <w:t>nepredikovatelné</w:t>
      </w:r>
      <w:proofErr w:type="spellEnd"/>
      <w:r w:rsidRPr="00753BB6">
        <w:rPr>
          <w:rFonts w:ascii="Arial" w:eastAsia="Times New Roman" w:hAnsi="Arial" w:cs="Arial"/>
          <w:bCs/>
          <w:lang w:eastAsia="cs-CZ"/>
        </w:rPr>
        <w:t xml:space="preserve"> individuální cenové nebo risk-</w:t>
      </w:r>
      <w:proofErr w:type="spellStart"/>
      <w:r w:rsidRPr="00753BB6">
        <w:rPr>
          <w:rFonts w:ascii="Arial" w:eastAsia="Times New Roman" w:hAnsi="Arial" w:cs="Arial"/>
          <w:bCs/>
          <w:lang w:eastAsia="cs-CZ"/>
        </w:rPr>
        <w:t>sharingové</w:t>
      </w:r>
      <w:proofErr w:type="spellEnd"/>
      <w:r w:rsidRPr="00753BB6">
        <w:rPr>
          <w:rFonts w:ascii="Arial" w:eastAsia="Times New Roman" w:hAnsi="Arial" w:cs="Arial"/>
          <w:bCs/>
          <w:lang w:eastAsia="cs-CZ"/>
        </w:rPr>
        <w:t xml:space="preserve"> dohody držitelů rozhodnutí o registraci a zdravotních pojišťoven. Novela ani neznamená zabránění vstupu vysoce inovativních přípravků do systému úhrad, neboť léčivé přípravky mohou vstoupit do systému cen a úhrad standardními mechanismy jako ostatní běžné léčivé přípravky, pokud splní podmínky přiznání úhrady. </w:t>
      </w:r>
    </w:p>
    <w:p w:rsidR="00422BDA" w:rsidRPr="00753BB6" w:rsidRDefault="00422BDA" w:rsidP="00422BDA">
      <w:pPr>
        <w:spacing w:after="0" w:line="300" w:lineRule="atLeast"/>
        <w:jc w:val="both"/>
        <w:rPr>
          <w:rFonts w:ascii="Arial" w:eastAsia="Times New Roman" w:hAnsi="Arial" w:cs="Arial"/>
          <w:bCs/>
          <w:lang w:eastAsia="cs-CZ"/>
        </w:rPr>
      </w:pPr>
    </w:p>
    <w:p w:rsidR="00422BDA" w:rsidRPr="00753BB6" w:rsidRDefault="00422BDA" w:rsidP="00422BDA">
      <w:pPr>
        <w:spacing w:after="0" w:line="300" w:lineRule="atLeast"/>
        <w:jc w:val="both"/>
        <w:rPr>
          <w:rFonts w:ascii="Arial" w:eastAsia="Times New Roman" w:hAnsi="Arial" w:cs="Arial"/>
          <w:bCs/>
          <w:lang w:eastAsia="cs-CZ"/>
        </w:rPr>
      </w:pPr>
      <w:r w:rsidRPr="00753BB6">
        <w:rPr>
          <w:rFonts w:ascii="Arial" w:eastAsia="Times New Roman" w:hAnsi="Arial" w:cs="Arial"/>
          <w:bCs/>
          <w:lang w:eastAsia="cs-CZ"/>
        </w:rPr>
        <w:t>Předpokládaný hospodářský a finanční dopad navrhované právní úpravy je uveden v závěrečné zprávě z hodnocení dopadů regulace.</w:t>
      </w:r>
    </w:p>
    <w:p w:rsidR="00422BDA" w:rsidRPr="00753BB6" w:rsidRDefault="00422BDA" w:rsidP="00422BDA">
      <w:pPr>
        <w:spacing w:after="0" w:line="300" w:lineRule="atLeast"/>
        <w:jc w:val="both"/>
        <w:rPr>
          <w:rFonts w:ascii="Arial" w:eastAsia="Times New Roman" w:hAnsi="Arial" w:cs="Arial"/>
          <w:bCs/>
          <w:lang w:eastAsia="cs-CZ"/>
        </w:rPr>
      </w:pPr>
    </w:p>
    <w:p w:rsidR="00422BDA" w:rsidRPr="00753BB6" w:rsidRDefault="00422BDA" w:rsidP="00422BDA">
      <w:pPr>
        <w:spacing w:after="0" w:line="300" w:lineRule="atLeast"/>
        <w:jc w:val="both"/>
        <w:rPr>
          <w:rFonts w:ascii="Arial" w:eastAsia="Times New Roman" w:hAnsi="Arial" w:cs="Arial"/>
          <w:bCs/>
          <w:lang w:eastAsia="cs-CZ"/>
        </w:rPr>
      </w:pPr>
      <w:r w:rsidRPr="00753BB6">
        <w:rPr>
          <w:rFonts w:ascii="Arial" w:eastAsia="Times New Roman" w:hAnsi="Arial" w:cs="Arial"/>
          <w:bCs/>
          <w:lang w:eastAsia="cs-CZ"/>
        </w:rPr>
        <w:t>Návrh necílí svými dopady na rodiny, specifické skupiny obyvatel, osoby sociálně slabé, osoby se zdravotním postižením (ve smyslu ustanovení § 67 zákona č. 435/2004 Sb., o zaměstnanosti) a národnostní menšiny. Návrh nemá dopady na životní prostředí.</w:t>
      </w:r>
    </w:p>
    <w:p w:rsidR="00422BDA" w:rsidRPr="00753BB6" w:rsidRDefault="00422BDA" w:rsidP="00422BDA">
      <w:pPr>
        <w:spacing w:after="0" w:line="300" w:lineRule="atLeast"/>
        <w:jc w:val="both"/>
        <w:rPr>
          <w:rFonts w:ascii="Arial" w:eastAsia="Times New Roman" w:hAnsi="Arial" w:cs="Arial"/>
          <w:bCs/>
          <w:lang w:eastAsia="cs-CZ"/>
        </w:rPr>
      </w:pPr>
      <w:r w:rsidRPr="00753BB6">
        <w:rPr>
          <w:rFonts w:ascii="Arial" w:eastAsia="Times New Roman" w:hAnsi="Arial" w:cs="Arial"/>
          <w:bCs/>
          <w:lang w:eastAsia="cs-CZ"/>
        </w:rPr>
        <w:t xml:space="preserve"> </w:t>
      </w: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f) Zhodnocení současného stavu a dopadů navrhovaného řešení ve vztahu k zákazu diskriminace a ve vztahu k rovnosti mužů a žen</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widowControl w:val="0"/>
        <w:suppressAutoHyphens/>
        <w:spacing w:after="0" w:line="300" w:lineRule="auto"/>
        <w:jc w:val="both"/>
        <w:rPr>
          <w:rFonts w:ascii="Arial" w:eastAsia="Arial" w:hAnsi="Arial" w:cs="Arial"/>
          <w:lang w:eastAsia="cs-CZ"/>
        </w:rPr>
      </w:pPr>
      <w:r w:rsidRPr="00753BB6">
        <w:rPr>
          <w:rFonts w:ascii="Arial" w:eastAsia="Arial" w:hAnsi="Arial" w:cs="Arial"/>
          <w:lang w:eastAsia="cs-CZ"/>
        </w:rPr>
        <w:t>Dopad na rovnost žen a mužů byl hodnocen obdobně dle čl. 14 Legislativních pravidel vlády podle „Metodiky hodnocení dopadů na rovnost žen a mužů pro materiály předkládané vládě ČR“. Navrhovaná právní úprava, stejně jako platná právní úprava, se týká výhradně problematiky stanovování cen a úhrad léčivých přípravků a není úpravou, která by porušovala nebo se jinak dotýkala zásady zákazu diskriminace. Současně není úpravou, která by porušovala nebo se jinak dotýkala zásady rovnosti mužů a žen. Předkladatel proto v souladu s bodem 3.3 Metodiky konstatuje, že materiál se netýká postavení fyzických osob a nemá dopad na rovnost žen a mužů.</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g) Zhodnocení dopadů navrhovaného řešení ve vztahu k ochraně soukromí a osobních údajů</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uppressAutoHyphens/>
        <w:spacing w:after="0" w:line="300" w:lineRule="atLeast"/>
        <w:jc w:val="both"/>
        <w:rPr>
          <w:rFonts w:ascii="Arial" w:eastAsia="Times New Roman" w:hAnsi="Arial" w:cs="Arial"/>
          <w:color w:val="000000"/>
          <w:lang w:eastAsia="cs-CZ"/>
        </w:rPr>
      </w:pPr>
      <w:r w:rsidRPr="00753BB6">
        <w:rPr>
          <w:rFonts w:ascii="Arial" w:eastAsia="Times New Roman" w:hAnsi="Arial" w:cs="Arial"/>
          <w:color w:val="000000"/>
          <w:lang w:eastAsia="cs-CZ"/>
        </w:rPr>
        <w:t>Návrh nemá žádný dopad na ochranu soukromí a nezakládá žádný nový způsob zpracování osobních údajů.</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h) Zhodnocení korupčních rizik</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Korupční rizika byla hodnocena v souladu s metodikou </w:t>
      </w:r>
      <w:proofErr w:type="gramStart"/>
      <w:r w:rsidRPr="00753BB6">
        <w:rPr>
          <w:rFonts w:ascii="Arial" w:eastAsia="Times New Roman" w:hAnsi="Arial" w:cs="Arial"/>
          <w:lang w:eastAsia="cs-CZ"/>
        </w:rPr>
        <w:t>C.I.A.</w:t>
      </w:r>
      <w:proofErr w:type="gramEnd"/>
      <w:r w:rsidRPr="00753BB6">
        <w:rPr>
          <w:rFonts w:ascii="Arial" w:eastAsia="Times New Roman" w:hAnsi="Arial" w:cs="Arial"/>
          <w:lang w:eastAsia="cs-CZ"/>
        </w:rPr>
        <w:t xml:space="preserve"> – </w:t>
      </w:r>
      <w:proofErr w:type="spellStart"/>
      <w:r w:rsidRPr="00753BB6">
        <w:rPr>
          <w:rFonts w:ascii="Arial" w:eastAsia="Times New Roman" w:hAnsi="Arial" w:cs="Arial"/>
          <w:lang w:eastAsia="cs-CZ"/>
        </w:rPr>
        <w:t>Corruption</w:t>
      </w:r>
      <w:proofErr w:type="spellEnd"/>
      <w:r w:rsidRPr="00753BB6">
        <w:rPr>
          <w:rFonts w:ascii="Arial" w:eastAsia="Times New Roman" w:hAnsi="Arial" w:cs="Arial"/>
          <w:lang w:eastAsia="cs-CZ"/>
        </w:rPr>
        <w:t xml:space="preserve"> </w:t>
      </w:r>
      <w:proofErr w:type="spellStart"/>
      <w:r w:rsidRPr="00753BB6">
        <w:rPr>
          <w:rFonts w:ascii="Arial" w:eastAsia="Times New Roman" w:hAnsi="Arial" w:cs="Arial"/>
          <w:lang w:eastAsia="cs-CZ"/>
        </w:rPr>
        <w:t>Impact</w:t>
      </w:r>
      <w:proofErr w:type="spellEnd"/>
      <w:r w:rsidRPr="00753BB6">
        <w:rPr>
          <w:rFonts w:ascii="Arial" w:eastAsia="Times New Roman" w:hAnsi="Arial" w:cs="Arial"/>
          <w:lang w:eastAsia="cs-CZ"/>
        </w:rPr>
        <w:t xml:space="preserve"> </w:t>
      </w:r>
      <w:proofErr w:type="spellStart"/>
      <w:r w:rsidRPr="00753BB6">
        <w:rPr>
          <w:rFonts w:ascii="Arial" w:eastAsia="Times New Roman" w:hAnsi="Arial" w:cs="Arial"/>
          <w:lang w:eastAsia="cs-CZ"/>
        </w:rPr>
        <w:t>Assessment</w:t>
      </w:r>
      <w:proofErr w:type="spellEnd"/>
      <w:r w:rsidRPr="00753BB6">
        <w:rPr>
          <w:rFonts w:ascii="Arial" w:eastAsia="Times New Roman" w:hAnsi="Arial" w:cs="Arial"/>
          <w:lang w:eastAsia="cs-CZ"/>
        </w:rPr>
        <w:t xml:space="preserve">. Výsledkem tohoto zhodnocení je, že návrh nemá dopad na korupční rizika, ani na jejich nárůst. </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i) Zhodnocení dopadů na bezpečnost nebo obranu státu</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u w:val="single"/>
          <w:lang w:eastAsia="cs-CZ"/>
        </w:rPr>
      </w:pPr>
      <w:r w:rsidRPr="00753BB6">
        <w:rPr>
          <w:rFonts w:ascii="Arial" w:eastAsia="Times New Roman" w:hAnsi="Arial" w:cs="Arial"/>
          <w:lang w:eastAsia="cs-CZ"/>
        </w:rPr>
        <w:t>Navrhovaná úprava není úpravou, která má přímé nebo nepřímé dopady pro bezpečnost a obranu státu.</w:t>
      </w:r>
    </w:p>
    <w:p w:rsidR="00422BDA" w:rsidRPr="00753BB6" w:rsidRDefault="00422BDA" w:rsidP="00422BDA">
      <w:pPr>
        <w:spacing w:after="0" w:line="240" w:lineRule="auto"/>
        <w:rPr>
          <w:rFonts w:ascii="Times New Roman" w:eastAsia="Times New Roman" w:hAnsi="Times New Roman" w:cs="Times New Roman"/>
          <w:sz w:val="24"/>
          <w:szCs w:val="24"/>
          <w:lang w:eastAsia="cs-CZ"/>
        </w:rPr>
      </w:pPr>
    </w:p>
    <w:p w:rsidR="00422BDA" w:rsidRPr="00753BB6" w:rsidRDefault="00422BDA" w:rsidP="00422BDA">
      <w:pPr>
        <w:spacing w:after="0" w:line="240" w:lineRule="auto"/>
        <w:rPr>
          <w:rFonts w:ascii="Times New Roman" w:eastAsia="Times New Roman" w:hAnsi="Times New Roman" w:cs="Times New Roman"/>
          <w:sz w:val="24"/>
          <w:szCs w:val="24"/>
          <w:lang w:eastAsia="cs-CZ"/>
        </w:rPr>
      </w:pPr>
    </w:p>
    <w:p w:rsidR="00422BDA" w:rsidRPr="00753BB6" w:rsidRDefault="00422BDA" w:rsidP="00422BDA">
      <w:pPr>
        <w:spacing w:after="0" w:line="240" w:lineRule="auto"/>
        <w:rPr>
          <w:rFonts w:ascii="Times New Roman" w:eastAsia="Times New Roman" w:hAnsi="Times New Roman" w:cs="Times New Roman"/>
          <w:sz w:val="24"/>
          <w:szCs w:val="24"/>
          <w:lang w:eastAsia="cs-CZ"/>
        </w:rPr>
      </w:pPr>
    </w:p>
    <w:p w:rsidR="00422BDA" w:rsidRPr="0053233A" w:rsidRDefault="00422BDA" w:rsidP="00422BDA">
      <w:pPr>
        <w:keepNext/>
        <w:spacing w:after="0" w:line="300" w:lineRule="atLeast"/>
        <w:outlineLvl w:val="1"/>
        <w:rPr>
          <w:rFonts w:ascii="Arial" w:eastAsia="Times New Roman" w:hAnsi="Arial" w:cs="Arial"/>
          <w:b/>
          <w:bCs/>
          <w:color w:val="000000"/>
          <w:spacing w:val="40"/>
          <w:u w:val="single"/>
          <w:lang w:eastAsia="cs-CZ"/>
        </w:rPr>
      </w:pPr>
      <w:r w:rsidRPr="0053233A">
        <w:rPr>
          <w:rFonts w:ascii="Arial" w:eastAsia="Times New Roman" w:hAnsi="Arial" w:cs="Arial"/>
          <w:b/>
          <w:spacing w:val="40"/>
          <w:u w:val="single"/>
          <w:lang w:eastAsia="cs-CZ"/>
        </w:rPr>
        <w:t xml:space="preserve">2. </w:t>
      </w:r>
      <w:r w:rsidRPr="0053233A">
        <w:rPr>
          <w:rFonts w:ascii="Arial" w:eastAsia="Times New Roman" w:hAnsi="Arial" w:cs="Arial"/>
          <w:b/>
          <w:bCs/>
          <w:color w:val="000000"/>
          <w:spacing w:val="40"/>
          <w:u w:val="single"/>
          <w:lang w:eastAsia="cs-CZ"/>
        </w:rPr>
        <w:t>Zvláštní část</w:t>
      </w:r>
    </w:p>
    <w:p w:rsidR="00422BDA" w:rsidRPr="00753BB6" w:rsidRDefault="00422BDA" w:rsidP="00422BDA">
      <w:pPr>
        <w:spacing w:after="0" w:line="300" w:lineRule="atLeast"/>
        <w:jc w:val="both"/>
        <w:rPr>
          <w:rFonts w:ascii="Arial" w:eastAsia="Times New Roman" w:hAnsi="Arial" w:cs="Arial"/>
          <w:i/>
          <w:lang w:eastAsia="cs-CZ"/>
        </w:rPr>
      </w:pPr>
    </w:p>
    <w:p w:rsidR="00422BDA" w:rsidRPr="00753BB6" w:rsidRDefault="00422BDA" w:rsidP="00422BDA">
      <w:pPr>
        <w:spacing w:after="0" w:line="300" w:lineRule="atLeast"/>
        <w:jc w:val="both"/>
        <w:outlineLvl w:val="0"/>
        <w:rPr>
          <w:rFonts w:ascii="Arial" w:eastAsia="Times New Roman" w:hAnsi="Arial" w:cs="Arial"/>
          <w:b/>
          <w:lang w:eastAsia="cs-CZ"/>
        </w:rPr>
      </w:pPr>
      <w:r w:rsidRPr="00753BB6">
        <w:rPr>
          <w:rFonts w:ascii="Arial" w:eastAsia="Times New Roman" w:hAnsi="Arial" w:cs="Arial"/>
          <w:b/>
          <w:lang w:eastAsia="cs-CZ"/>
        </w:rPr>
        <w:t xml:space="preserve">K § 7  </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lang w:eastAsia="cs-CZ"/>
        </w:rPr>
      </w:pPr>
      <w:r w:rsidRPr="00753BB6">
        <w:rPr>
          <w:rFonts w:ascii="Arial" w:eastAsia="Times New Roman" w:hAnsi="Arial" w:cs="Arial"/>
          <w:lang w:eastAsia="cs-CZ"/>
        </w:rPr>
        <w:t xml:space="preserve">V pravidlech pro výpočet maximální ceny se zvyšuje procentní rozdíl z 20 % na 30 %. Nově má platit, že pokud nejnižší cena výrobce posuzovaného </w:t>
      </w:r>
      <w:r w:rsidR="00DC7297">
        <w:rPr>
          <w:rFonts w:ascii="Arial" w:eastAsia="Times New Roman" w:hAnsi="Arial" w:cs="Arial"/>
          <w:lang w:eastAsia="cs-CZ"/>
        </w:rPr>
        <w:t xml:space="preserve">léčivého </w:t>
      </w:r>
      <w:r w:rsidRPr="00753BB6">
        <w:rPr>
          <w:rFonts w:ascii="Arial" w:eastAsia="Times New Roman" w:hAnsi="Arial" w:cs="Arial"/>
          <w:lang w:eastAsia="cs-CZ"/>
        </w:rPr>
        <w:t>přípravku zjištěná v zemi referenčního koše je nižší o více než 30 %</w:t>
      </w:r>
      <w:r>
        <w:rPr>
          <w:rFonts w:ascii="Arial" w:eastAsia="Times New Roman" w:hAnsi="Arial" w:cs="Arial"/>
          <w:lang w:eastAsia="cs-CZ"/>
        </w:rPr>
        <w:t>,</w:t>
      </w:r>
      <w:r w:rsidRPr="00753BB6">
        <w:rPr>
          <w:rFonts w:ascii="Arial" w:eastAsia="Times New Roman" w:hAnsi="Arial" w:cs="Arial"/>
          <w:lang w:eastAsia="cs-CZ"/>
        </w:rPr>
        <w:t xml:space="preserve"> než je průměr druhé a třetí nejnižší ceny výrobce tohoto </w:t>
      </w:r>
      <w:r w:rsidR="00DC7297">
        <w:rPr>
          <w:rFonts w:ascii="Arial" w:eastAsia="Times New Roman" w:hAnsi="Arial" w:cs="Arial"/>
          <w:lang w:eastAsia="cs-CZ"/>
        </w:rPr>
        <w:t xml:space="preserve">léčivého </w:t>
      </w:r>
      <w:r w:rsidRPr="00753BB6">
        <w:rPr>
          <w:rFonts w:ascii="Arial" w:eastAsia="Times New Roman" w:hAnsi="Arial" w:cs="Arial"/>
          <w:lang w:eastAsia="cs-CZ"/>
        </w:rPr>
        <w:t xml:space="preserve">přípravku v ostatních zemích referenčního koše, použije se pro stanovení maximální ceny výrobce tento průměr nebo nejvyšší cena výrobce na základě písemného ujednání podle § 39a odst. 2 písm. b) zákona, je-li nižší než tento průměr. </w:t>
      </w:r>
    </w:p>
    <w:p w:rsidR="00422BDA" w:rsidRPr="00753BB6" w:rsidRDefault="00422BDA" w:rsidP="00422BDA">
      <w:pPr>
        <w:spacing w:after="0" w:line="300" w:lineRule="atLeast"/>
        <w:jc w:val="both"/>
        <w:outlineLvl w:val="0"/>
        <w:rPr>
          <w:rFonts w:ascii="Arial" w:eastAsia="Times New Roman" w:hAnsi="Arial" w:cs="Arial"/>
          <w:lang w:eastAsia="cs-CZ"/>
        </w:rPr>
      </w:pPr>
      <w:r w:rsidRPr="00753BB6">
        <w:rPr>
          <w:rFonts w:ascii="Arial" w:eastAsia="Times New Roman" w:hAnsi="Arial" w:cs="Arial"/>
          <w:lang w:eastAsia="cs-CZ"/>
        </w:rPr>
        <w:t xml:space="preserve">V souvislosti s vypršením patentové ochrany originálních léčivých přípravků dochází k významným změnám maximálních cen výrobce v zemích Evropské unie. Navýšení rozdílu mezi průměrem druhé a třetí nejnižší ceny výrobce vůči nejnižší ceně je navrhováno z důvodu, že v mnoha zemích EU je referenčním léčivým přípravkem pro stanovení ceny přípravek nejméně nákladný, např. ve Španělsku, Slovinsku, Rumunsku, Lucembursku, Itálii, Maďarsku. Za dostatečný mechanismus pro zachování cenové stability v případě stanovení maximální ceny výrobce se považuje stanovení ceny posuzovaného přípravku dle zemí tzv. referenčního koše, který zahrnuje státy s paritou kupní síly podobnou České republice. Toto opatření, které z členských států EU selektuje pouze státy, které mají paritu kupní síly podobnu České republice, již dostatečně pokrývá riziko tendrových cen, tudíž navýšení rozdílu mezi průměrem druhé a třetí nejnižší ceny výrobce vůči nejnižší ceně nepředstavuje významné riziko pro potenciální nedostupnost léčivých přípravků v České republice. </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b/>
          <w:lang w:eastAsia="cs-CZ"/>
        </w:rPr>
      </w:pPr>
      <w:r w:rsidRPr="00753BB6">
        <w:rPr>
          <w:rFonts w:ascii="Arial" w:eastAsia="Times New Roman" w:hAnsi="Arial" w:cs="Arial"/>
          <w:b/>
          <w:lang w:eastAsia="cs-CZ"/>
        </w:rPr>
        <w:t>K § 16 odst. 2</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lang w:eastAsia="cs-CZ"/>
        </w:rPr>
      </w:pPr>
      <w:r>
        <w:rPr>
          <w:rFonts w:ascii="Arial" w:eastAsia="Times New Roman" w:hAnsi="Arial" w:cs="Arial"/>
          <w:lang w:eastAsia="cs-CZ"/>
        </w:rPr>
        <w:t xml:space="preserve">V pravidlech pro </w:t>
      </w:r>
      <w:r w:rsidRPr="00753BB6">
        <w:rPr>
          <w:rFonts w:ascii="Arial" w:eastAsia="Times New Roman" w:hAnsi="Arial" w:cs="Arial"/>
          <w:lang w:eastAsia="cs-CZ"/>
        </w:rPr>
        <w:t xml:space="preserve">zvýšení základní úhrady </w:t>
      </w:r>
      <w:r>
        <w:rPr>
          <w:rFonts w:ascii="Arial" w:eastAsia="Times New Roman" w:hAnsi="Arial" w:cs="Arial"/>
          <w:lang w:eastAsia="cs-CZ"/>
        </w:rPr>
        <w:t xml:space="preserve">ve veřejném zájmu </w:t>
      </w:r>
      <w:r w:rsidRPr="00753BB6">
        <w:rPr>
          <w:rFonts w:ascii="Arial" w:eastAsia="Times New Roman" w:hAnsi="Arial" w:cs="Arial"/>
          <w:lang w:eastAsia="cs-CZ"/>
        </w:rPr>
        <w:t xml:space="preserve">se zvyšuje procentní rozdíl z 20 % na 30 %. Navýšení rozdílu mezi průměrem druhé a třetí nejnižší ceny výrobce vůči nejnižší ceně při stanovení úhrady nepředstavuje riziko, které by ohrozilo dostupnost </w:t>
      </w:r>
      <w:r w:rsidR="00DC7297">
        <w:rPr>
          <w:rFonts w:ascii="Arial" w:eastAsia="Times New Roman" w:hAnsi="Arial" w:cs="Arial"/>
          <w:lang w:eastAsia="cs-CZ"/>
        </w:rPr>
        <w:t>léčivého přípravku</w:t>
      </w:r>
      <w:r w:rsidRPr="00753BB6">
        <w:rPr>
          <w:rFonts w:ascii="Arial" w:eastAsia="Times New Roman" w:hAnsi="Arial" w:cs="Arial"/>
          <w:lang w:eastAsia="cs-CZ"/>
        </w:rPr>
        <w:t xml:space="preserve"> na českém trhu, a to z toho důvodu, že navrhované navýšení stále ve výpočtu zahrnuje pouze ceny, které nejsou extrémně nízké kvůli tendrům. Tendrové ceny se zpravidla liší mnohonásobně vyšším rozdílem mezi průměrem druhé a třetí nejnižší ceny výrobce vůči nejnižší ceně než současně nastavená i navrhovaná úprava. Na základě výše uvedeného je tedy třeba konstatovat, že </w:t>
      </w:r>
      <w:r w:rsidRPr="00753BB6">
        <w:rPr>
          <w:rFonts w:ascii="Arial" w:eastAsia="Times New Roman" w:hAnsi="Arial" w:cs="Arial"/>
          <w:lang w:eastAsia="cs-CZ"/>
        </w:rPr>
        <w:lastRenderedPageBreak/>
        <w:t>aktuálně nastavená procentuální výše snížení úhrady podobných přípravků nereflektuje situaci v EU a je značně podhodnocená. Navrženými úpravami dojde k racionalizaci nákladů vydávaných za léčivé přípravky.</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b/>
          <w:lang w:eastAsia="cs-CZ"/>
        </w:rPr>
      </w:pPr>
      <w:r w:rsidRPr="00753BB6">
        <w:rPr>
          <w:rFonts w:ascii="Arial" w:eastAsia="Times New Roman" w:hAnsi="Arial" w:cs="Arial"/>
          <w:b/>
          <w:lang w:eastAsia="cs-CZ"/>
        </w:rPr>
        <w:t xml:space="preserve">K § 27 odst. 1 písm. a) </w:t>
      </w:r>
      <w:r w:rsidR="002E0479">
        <w:rPr>
          <w:rFonts w:ascii="Arial" w:eastAsia="Times New Roman" w:hAnsi="Arial" w:cs="Arial"/>
          <w:b/>
          <w:lang w:eastAsia="cs-CZ"/>
        </w:rPr>
        <w:t>a odst. 2 písm. a)</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lang w:eastAsia="cs-CZ"/>
        </w:rPr>
      </w:pPr>
      <w:r w:rsidRPr="00753BB6">
        <w:rPr>
          <w:rFonts w:ascii="Arial" w:eastAsia="Times New Roman" w:hAnsi="Arial" w:cs="Arial"/>
          <w:lang w:eastAsia="cs-CZ"/>
        </w:rPr>
        <w:t xml:space="preserve">Slova „snížení úmrtnosti pacientů“ se nahrazují slovy „prodloužení celkové doby přežití“. Statistický údaj „celková doba přežití“ informuje, jak dlouho bude pacient s určitou nemocí naživu či jaké je jeho riziko úmrtí. </w:t>
      </w:r>
      <w:r w:rsidR="00BC3653">
        <w:rPr>
          <w:rFonts w:ascii="Arial" w:eastAsia="Times New Roman" w:hAnsi="Arial" w:cs="Arial"/>
          <w:lang w:eastAsia="cs-CZ"/>
        </w:rPr>
        <w:t>Celková doba přežití znamená dobu buď od data diagnózy</w:t>
      </w:r>
      <w:r w:rsidR="00821853">
        <w:rPr>
          <w:rFonts w:ascii="Arial" w:eastAsia="Times New Roman" w:hAnsi="Arial" w:cs="Arial"/>
          <w:lang w:eastAsia="cs-CZ"/>
        </w:rPr>
        <w:t>,</w:t>
      </w:r>
      <w:r w:rsidR="00BC3653">
        <w:rPr>
          <w:rFonts w:ascii="Arial" w:eastAsia="Times New Roman" w:hAnsi="Arial" w:cs="Arial"/>
          <w:lang w:eastAsia="cs-CZ"/>
        </w:rPr>
        <w:t xml:space="preserve"> nebo od začátku léčby onemocnění, po kterou jsou pacienti ještě živi.</w:t>
      </w:r>
      <w:r w:rsidR="00BC3653" w:rsidRPr="00BC3653">
        <w:rPr>
          <w:rFonts w:ascii="Arial" w:eastAsia="Times New Roman" w:hAnsi="Arial" w:cs="Arial"/>
          <w:lang w:eastAsia="cs-CZ"/>
        </w:rPr>
        <w:t xml:space="preserve"> </w:t>
      </w:r>
      <w:r w:rsidRPr="00753BB6">
        <w:rPr>
          <w:rFonts w:ascii="Arial" w:eastAsia="Times New Roman" w:hAnsi="Arial" w:cs="Arial"/>
          <w:lang w:eastAsia="cs-CZ"/>
        </w:rPr>
        <w:t>Parametr celkové doby přežití nejlépe definuje účinnost a bezpečnost léčivého přípravku. Prodloužením celkové doby přežití se rozumí prodloužení doby od diagnostikování či začátku léčby onemocnění</w:t>
      </w:r>
      <w:r w:rsidR="00BC3653">
        <w:rPr>
          <w:rFonts w:ascii="Arial" w:eastAsia="Times New Roman" w:hAnsi="Arial" w:cs="Arial"/>
          <w:lang w:eastAsia="cs-CZ"/>
        </w:rPr>
        <w:t xml:space="preserve"> do doby</w:t>
      </w:r>
      <w:r w:rsidRPr="00753BB6">
        <w:rPr>
          <w:rFonts w:ascii="Arial" w:eastAsia="Times New Roman" w:hAnsi="Arial" w:cs="Arial"/>
          <w:lang w:eastAsia="cs-CZ"/>
        </w:rPr>
        <w:t>, kdy jsou pacienti stále na živu. V klinických studiích jsou změny v celkové době přežití využívány jako parametr účinnosti sledované léčby.</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b/>
          <w:lang w:eastAsia="cs-CZ"/>
        </w:rPr>
      </w:pPr>
      <w:r w:rsidRPr="00753BB6">
        <w:rPr>
          <w:rFonts w:ascii="Arial" w:eastAsia="Times New Roman" w:hAnsi="Arial" w:cs="Arial"/>
          <w:b/>
          <w:lang w:eastAsia="cs-CZ"/>
        </w:rPr>
        <w:t>K § 27 odst. 2 písm. d)</w:t>
      </w:r>
    </w:p>
    <w:p w:rsidR="00422BDA" w:rsidRPr="00753BB6" w:rsidRDefault="00422BDA" w:rsidP="00422BDA">
      <w:pPr>
        <w:spacing w:after="0" w:line="300" w:lineRule="atLeast"/>
        <w:jc w:val="both"/>
        <w:outlineLvl w:val="0"/>
        <w:rPr>
          <w:rFonts w:ascii="Arial" w:eastAsia="Times New Roman" w:hAnsi="Arial" w:cs="Arial"/>
          <w:b/>
          <w:lang w:eastAsia="cs-CZ"/>
        </w:rPr>
      </w:pPr>
    </w:p>
    <w:p w:rsidR="00422BDA" w:rsidRPr="00753BB6" w:rsidRDefault="00422BDA" w:rsidP="00422BDA">
      <w:pPr>
        <w:spacing w:after="0" w:line="300" w:lineRule="atLeast"/>
        <w:jc w:val="both"/>
        <w:outlineLvl w:val="0"/>
        <w:rPr>
          <w:rFonts w:ascii="Arial" w:eastAsia="Times New Roman" w:hAnsi="Arial" w:cs="Arial"/>
          <w:lang w:eastAsia="cs-CZ"/>
        </w:rPr>
      </w:pPr>
      <w:r w:rsidRPr="00753BB6">
        <w:rPr>
          <w:rFonts w:ascii="Arial" w:eastAsia="Times New Roman" w:hAnsi="Arial" w:cs="Arial"/>
          <w:lang w:eastAsia="cs-CZ"/>
        </w:rPr>
        <w:t xml:space="preserve">Slova „závažných klinicky významných projevů“ se nahrazují slovy „výskytu závažných komplikací“, kdy tento návrh činí souladnou textaci odstavce 1 písm. d) s odstavcem 2 písm. d) předmětného ustanovení. Jedná se o nevýznamné zúžení kritérií, kdy je možno bonifikovat léčivý přípravek s ohledem na účinnost. Za </w:t>
      </w:r>
      <w:r w:rsidR="00821853">
        <w:rPr>
          <w:rFonts w:ascii="Arial" w:eastAsia="Times New Roman" w:hAnsi="Arial" w:cs="Arial"/>
          <w:lang w:eastAsia="cs-CZ"/>
        </w:rPr>
        <w:t xml:space="preserve">léčivý </w:t>
      </w:r>
      <w:r w:rsidRPr="00753BB6">
        <w:rPr>
          <w:rFonts w:ascii="Arial" w:eastAsia="Times New Roman" w:hAnsi="Arial" w:cs="Arial"/>
          <w:lang w:eastAsia="cs-CZ"/>
        </w:rPr>
        <w:t xml:space="preserve">přípravek s vyšší účinností se bude nově považovat </w:t>
      </w:r>
      <w:r w:rsidR="00821853">
        <w:rPr>
          <w:rFonts w:ascii="Arial" w:eastAsia="Times New Roman" w:hAnsi="Arial" w:cs="Arial"/>
          <w:lang w:eastAsia="cs-CZ"/>
        </w:rPr>
        <w:t xml:space="preserve">léčivý </w:t>
      </w:r>
      <w:r w:rsidRPr="00753BB6">
        <w:rPr>
          <w:rFonts w:ascii="Arial" w:eastAsia="Times New Roman" w:hAnsi="Arial" w:cs="Arial"/>
          <w:lang w:eastAsia="cs-CZ"/>
        </w:rPr>
        <w:t>přípravek, u kterého se, mimo jiné, při posuzování podle § 27 odst. 1 vyhlášky č. 376/2011 Sb. prokáže klinicky významné snížení výskytu závažných komplikací onemocnění alespoň o 30 %.</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outlineLvl w:val="0"/>
        <w:rPr>
          <w:rFonts w:ascii="Arial" w:eastAsia="Times New Roman" w:hAnsi="Arial" w:cs="Arial"/>
          <w:b/>
          <w:lang w:eastAsia="cs-CZ"/>
        </w:rPr>
      </w:pPr>
      <w:r w:rsidRPr="00753BB6">
        <w:rPr>
          <w:rFonts w:ascii="Arial" w:eastAsia="Times New Roman" w:hAnsi="Arial" w:cs="Arial"/>
          <w:b/>
          <w:lang w:eastAsia="cs-CZ"/>
        </w:rPr>
        <w:t xml:space="preserve">K § 40 odst. 1 a 2 </w:t>
      </w:r>
    </w:p>
    <w:p w:rsidR="00422BDA" w:rsidRPr="00753BB6" w:rsidRDefault="00422BDA" w:rsidP="00422BDA">
      <w:pPr>
        <w:spacing w:after="0" w:line="300" w:lineRule="atLeast"/>
        <w:contextualSpacing/>
        <w:jc w:val="both"/>
        <w:rPr>
          <w:rFonts w:ascii="Arial" w:eastAsia="Times New Roman" w:hAnsi="Arial" w:cs="Arial"/>
          <w:lang w:eastAsia="cs-CZ"/>
        </w:rPr>
      </w:pPr>
    </w:p>
    <w:p w:rsidR="00422BDA" w:rsidRPr="00A328DE" w:rsidRDefault="00422BDA" w:rsidP="00422BDA">
      <w:pPr>
        <w:spacing w:after="0" w:line="300" w:lineRule="atLeast"/>
        <w:contextualSpacing/>
        <w:jc w:val="both"/>
        <w:rPr>
          <w:rFonts w:ascii="Arial" w:hAnsi="Arial" w:cs="Arial"/>
        </w:rPr>
      </w:pPr>
      <w:r w:rsidRPr="00753BB6">
        <w:rPr>
          <w:rFonts w:ascii="Arial" w:hAnsi="Arial" w:cs="Arial"/>
        </w:rPr>
        <w:t xml:space="preserve">Cílem návrhu je zpřísnění kritérií pro přiznání postavení léčivého přípravku jako vysoce inovativního léčivého přípravku, a to odstraněním některých stávajících parametrů a </w:t>
      </w:r>
      <w:r w:rsidR="00454142">
        <w:rPr>
          <w:rFonts w:ascii="Arial" w:hAnsi="Arial" w:cs="Arial"/>
        </w:rPr>
        <w:t>úpravou zbývajících parametrů</w:t>
      </w:r>
      <w:r w:rsidRPr="00A328DE">
        <w:rPr>
          <w:rFonts w:ascii="Arial" w:hAnsi="Arial" w:cs="Arial"/>
        </w:rPr>
        <w:t>.</w:t>
      </w:r>
      <w:r w:rsidRPr="00A328DE" w:rsidDel="00A61C89">
        <w:rPr>
          <w:rFonts w:ascii="Arial" w:hAnsi="Arial" w:cs="Arial"/>
        </w:rPr>
        <w:t xml:space="preserve"> </w:t>
      </w:r>
    </w:p>
    <w:p w:rsidR="00422BDA" w:rsidRPr="00753BB6" w:rsidRDefault="00422BDA" w:rsidP="00422BDA">
      <w:pPr>
        <w:widowControl w:val="0"/>
        <w:autoSpaceDE w:val="0"/>
        <w:autoSpaceDN w:val="0"/>
        <w:adjustRightInd w:val="0"/>
        <w:spacing w:after="0" w:line="300" w:lineRule="atLeast"/>
        <w:jc w:val="both"/>
        <w:rPr>
          <w:rFonts w:ascii="Arial" w:eastAsiaTheme="minorEastAsia" w:hAnsi="Arial" w:cs="Arial"/>
          <w:lang w:eastAsia="cs-CZ"/>
        </w:rPr>
      </w:pPr>
      <w:r w:rsidRPr="00A328DE">
        <w:rPr>
          <w:rFonts w:ascii="Arial" w:hAnsi="Arial" w:cs="Arial"/>
        </w:rPr>
        <w:t xml:space="preserve">Ustanovení definuje, kdy je možné účinnost léčivého přípravku považovat za zásadní zlepšení existující léčby vysoce závažného onemocnění, tedy, kdy je možné dosavadní léčbu tohoto onemocnění považovat za méně účinnou ve srovnání s léčivým přípravkem ucházejícím se o postavení vysoce inovativního léčivého přípravku. Za zásadní zlepšení dosavadní </w:t>
      </w:r>
      <w:r w:rsidR="00454142">
        <w:rPr>
          <w:rFonts w:ascii="Arial" w:hAnsi="Arial" w:cs="Arial"/>
        </w:rPr>
        <w:t xml:space="preserve">méně účinné </w:t>
      </w:r>
      <w:r w:rsidRPr="00A328DE">
        <w:rPr>
          <w:rFonts w:ascii="Arial" w:hAnsi="Arial" w:cs="Arial"/>
        </w:rPr>
        <w:t xml:space="preserve">léčby </w:t>
      </w:r>
      <w:r w:rsidRPr="00A328DE">
        <w:rPr>
          <w:rFonts w:ascii="Arial" w:eastAsiaTheme="minorEastAsia" w:hAnsi="Arial" w:cs="Arial"/>
          <w:lang w:eastAsia="cs-CZ"/>
        </w:rPr>
        <w:t xml:space="preserve">vysoce závažného onemocnění </w:t>
      </w:r>
      <w:r w:rsidRPr="00A328DE">
        <w:rPr>
          <w:rFonts w:ascii="Arial" w:hAnsi="Arial" w:cs="Arial"/>
        </w:rPr>
        <w:t xml:space="preserve">lze považovat situaci, </w:t>
      </w:r>
      <w:r w:rsidRPr="00A328DE">
        <w:rPr>
          <w:rFonts w:ascii="Arial" w:eastAsiaTheme="minorEastAsia" w:hAnsi="Arial" w:cs="Arial"/>
          <w:lang w:eastAsia="cs-CZ"/>
        </w:rPr>
        <w:t xml:space="preserve">jestliže </w:t>
      </w:r>
      <w:r w:rsidR="00821853">
        <w:rPr>
          <w:rFonts w:ascii="Arial" w:eastAsiaTheme="minorEastAsia" w:hAnsi="Arial" w:cs="Arial"/>
          <w:lang w:eastAsia="cs-CZ"/>
        </w:rPr>
        <w:t xml:space="preserve">léčivý </w:t>
      </w:r>
      <w:r w:rsidRPr="00A328DE">
        <w:rPr>
          <w:rFonts w:ascii="Arial" w:eastAsiaTheme="minorEastAsia" w:hAnsi="Arial" w:cs="Arial"/>
          <w:lang w:eastAsia="cs-CZ"/>
        </w:rPr>
        <w:t>přípravek jako jediný snižuje podíl pacientů, kteří museli z důvodů nežádoucích účinků ukončit léčbu, nejméně o 40 %,</w:t>
      </w:r>
      <w:r w:rsidRPr="00A328DE">
        <w:rPr>
          <w:rFonts w:ascii="Arial" w:eastAsiaTheme="minorEastAsia" w:hAnsi="Arial" w:cs="Arial"/>
          <w:b/>
          <w:lang w:eastAsia="cs-CZ"/>
        </w:rPr>
        <w:t xml:space="preserve"> </w:t>
      </w:r>
      <w:r w:rsidRPr="00A328DE">
        <w:rPr>
          <w:rFonts w:ascii="Arial" w:eastAsiaTheme="minorEastAsia" w:hAnsi="Arial" w:cs="Arial"/>
          <w:lang w:eastAsia="cs-CZ"/>
        </w:rPr>
        <w:t xml:space="preserve">nebo </w:t>
      </w:r>
      <w:r w:rsidR="0028783B">
        <w:rPr>
          <w:rFonts w:ascii="Arial" w:hAnsi="Arial" w:cs="Arial"/>
        </w:rPr>
        <w:t xml:space="preserve">nově </w:t>
      </w:r>
      <w:r w:rsidR="00454142">
        <w:rPr>
          <w:rFonts w:ascii="Arial" w:eastAsiaTheme="minorEastAsia" w:hAnsi="Arial" w:cs="Arial"/>
          <w:lang w:eastAsia="cs-CZ"/>
        </w:rPr>
        <w:t xml:space="preserve">kdy vysoce inovativní léčivý přípravek jako jediný prodlužuje celkovou dobu </w:t>
      </w:r>
      <w:r w:rsidRPr="00A328DE">
        <w:rPr>
          <w:rFonts w:ascii="Arial" w:eastAsiaTheme="minorEastAsia" w:hAnsi="Arial" w:cs="Arial"/>
          <w:lang w:eastAsia="cs-CZ"/>
        </w:rPr>
        <w:t xml:space="preserve">přežití o více než 2 roky, nebo, jde-li o pacienty, u nichž je předpokládané přežití kratší než 24 měsíců, </w:t>
      </w:r>
      <w:r w:rsidR="00454142">
        <w:rPr>
          <w:rFonts w:ascii="Arial" w:eastAsiaTheme="minorEastAsia" w:hAnsi="Arial" w:cs="Arial"/>
          <w:lang w:eastAsia="cs-CZ"/>
        </w:rPr>
        <w:t>jako jediný prodlužuje</w:t>
      </w:r>
      <w:r w:rsidRPr="00A328DE">
        <w:rPr>
          <w:rFonts w:ascii="Arial" w:eastAsiaTheme="minorEastAsia" w:hAnsi="Arial" w:cs="Arial"/>
          <w:lang w:eastAsia="cs-CZ"/>
        </w:rPr>
        <w:t xml:space="preserve"> předpokládan</w:t>
      </w:r>
      <w:r w:rsidR="00454142">
        <w:rPr>
          <w:rFonts w:ascii="Arial" w:eastAsiaTheme="minorEastAsia" w:hAnsi="Arial" w:cs="Arial"/>
          <w:lang w:eastAsia="cs-CZ"/>
        </w:rPr>
        <w:t>ou</w:t>
      </w:r>
      <w:r w:rsidRPr="00A328DE">
        <w:rPr>
          <w:rFonts w:ascii="Arial" w:eastAsiaTheme="minorEastAsia" w:hAnsi="Arial" w:cs="Arial"/>
          <w:lang w:eastAsia="cs-CZ"/>
        </w:rPr>
        <w:t xml:space="preserve"> </w:t>
      </w:r>
      <w:r w:rsidRPr="00753BB6">
        <w:rPr>
          <w:rFonts w:ascii="Arial" w:eastAsiaTheme="minorEastAsia" w:hAnsi="Arial" w:cs="Arial"/>
          <w:lang w:eastAsia="cs-CZ"/>
        </w:rPr>
        <w:t>dob</w:t>
      </w:r>
      <w:r w:rsidR="00454142">
        <w:rPr>
          <w:rFonts w:ascii="Arial" w:eastAsiaTheme="minorEastAsia" w:hAnsi="Arial" w:cs="Arial"/>
          <w:lang w:eastAsia="cs-CZ"/>
        </w:rPr>
        <w:t>u</w:t>
      </w:r>
      <w:r w:rsidRPr="00753BB6">
        <w:rPr>
          <w:rFonts w:ascii="Arial" w:eastAsiaTheme="minorEastAsia" w:hAnsi="Arial" w:cs="Arial"/>
          <w:lang w:eastAsia="cs-CZ"/>
        </w:rPr>
        <w:t xml:space="preserve"> života alespoň o 50 %, nejméně však o 6 měsíců.</w:t>
      </w:r>
    </w:p>
    <w:p w:rsidR="001E2AB9" w:rsidRDefault="00715B6E" w:rsidP="00422BDA">
      <w:pPr>
        <w:spacing w:after="0" w:line="300" w:lineRule="atLeast"/>
        <w:contextualSpacing/>
        <w:jc w:val="both"/>
        <w:rPr>
          <w:rFonts w:ascii="Arial" w:eastAsia="Times New Roman" w:hAnsi="Arial" w:cs="Arial"/>
          <w:lang w:eastAsia="cs-CZ"/>
        </w:rPr>
      </w:pPr>
      <w:r>
        <w:rPr>
          <w:rFonts w:ascii="Arial" w:hAnsi="Arial" w:cs="Arial"/>
        </w:rPr>
        <w:t>Doplnění formulace srovnávání s jinou „méně účinnou“ léčbou a slov „jako jediný“ si klade za cíl</w:t>
      </w:r>
      <w:r w:rsidR="00422BDA" w:rsidRPr="00753BB6">
        <w:rPr>
          <w:rFonts w:ascii="Arial" w:hAnsi="Arial" w:cs="Arial"/>
        </w:rPr>
        <w:t xml:space="preserve"> zamez</w:t>
      </w:r>
      <w:r>
        <w:rPr>
          <w:rFonts w:ascii="Arial" w:hAnsi="Arial" w:cs="Arial"/>
        </w:rPr>
        <w:t>it</w:t>
      </w:r>
      <w:r w:rsidR="00422BDA" w:rsidRPr="00753BB6">
        <w:rPr>
          <w:rFonts w:ascii="Arial" w:hAnsi="Arial" w:cs="Arial"/>
        </w:rPr>
        <w:t xml:space="preserve"> souběžné existenc</w:t>
      </w:r>
      <w:r w:rsidR="006C4CFF">
        <w:rPr>
          <w:rFonts w:ascii="Arial" w:hAnsi="Arial" w:cs="Arial"/>
        </w:rPr>
        <w:t>i</w:t>
      </w:r>
      <w:r w:rsidR="00422BDA" w:rsidRPr="00753BB6">
        <w:rPr>
          <w:rFonts w:ascii="Arial" w:hAnsi="Arial" w:cs="Arial"/>
        </w:rPr>
        <w:t xml:space="preserve"> několika srovnatelně účinných léčivých přípravků se statusem vysoce inovativního léči</w:t>
      </w:r>
      <w:r w:rsidR="00C406CA">
        <w:rPr>
          <w:rFonts w:ascii="Arial" w:hAnsi="Arial" w:cs="Arial"/>
        </w:rPr>
        <w:t>vého přípravku</w:t>
      </w:r>
      <w:r>
        <w:rPr>
          <w:rFonts w:ascii="Arial" w:hAnsi="Arial" w:cs="Arial"/>
        </w:rPr>
        <w:t>.</w:t>
      </w:r>
      <w:r w:rsidR="00422BDA" w:rsidRPr="00753BB6">
        <w:rPr>
          <w:rFonts w:ascii="Arial" w:hAnsi="Arial" w:cs="Arial"/>
        </w:rPr>
        <w:t xml:space="preserve"> V rámci posuzování, zda se přizná léčivému přípravku postavení </w:t>
      </w:r>
      <w:r w:rsidR="00422BDA" w:rsidRPr="00753BB6">
        <w:rPr>
          <w:rFonts w:ascii="Arial" w:hAnsi="Arial" w:cs="Arial"/>
        </w:rPr>
        <w:lastRenderedPageBreak/>
        <w:t xml:space="preserve">vysoce inovativního léčivého přípravku, by měly hrát roli i alternativy v rámci léčivých přípravků hrazených dočasně nebo trvale. Návrh tedy </w:t>
      </w:r>
      <w:r w:rsidR="001E2AB9">
        <w:rPr>
          <w:rFonts w:ascii="Arial" w:hAnsi="Arial" w:cs="Arial"/>
        </w:rPr>
        <w:t>stanovuje</w:t>
      </w:r>
      <w:r w:rsidR="00422BDA" w:rsidRPr="00753BB6">
        <w:rPr>
          <w:rFonts w:ascii="Arial" w:hAnsi="Arial" w:cs="Arial"/>
        </w:rPr>
        <w:t xml:space="preserve"> podmínku neexistence </w:t>
      </w:r>
      <w:r w:rsidR="001E2AB9">
        <w:rPr>
          <w:rFonts w:ascii="Arial" w:hAnsi="Arial" w:cs="Arial"/>
        </w:rPr>
        <w:t>srovnatelně účinného léčivého přípravku</w:t>
      </w:r>
      <w:r w:rsidR="00422BDA" w:rsidRPr="00753BB6">
        <w:rPr>
          <w:rFonts w:ascii="Arial" w:hAnsi="Arial" w:cs="Arial"/>
        </w:rPr>
        <w:t xml:space="preserve"> k </w:t>
      </w:r>
      <w:r w:rsidR="001E2AB9">
        <w:rPr>
          <w:rFonts w:ascii="Arial" w:hAnsi="Arial" w:cs="Arial"/>
        </w:rPr>
        <w:t>posuzovanému</w:t>
      </w:r>
      <w:r w:rsidR="00422BDA" w:rsidRPr="00753BB6">
        <w:rPr>
          <w:rFonts w:ascii="Arial" w:hAnsi="Arial" w:cs="Arial"/>
        </w:rPr>
        <w:t xml:space="preserve"> léčivému přípravku</w:t>
      </w:r>
      <w:r w:rsidR="001E2AB9">
        <w:rPr>
          <w:rFonts w:ascii="Arial" w:hAnsi="Arial" w:cs="Arial"/>
        </w:rPr>
        <w:t>, která platí jak</w:t>
      </w:r>
      <w:r w:rsidR="00422BDA" w:rsidRPr="00753BB6">
        <w:rPr>
          <w:rFonts w:ascii="Arial" w:hAnsi="Arial" w:cs="Arial"/>
        </w:rPr>
        <w:t xml:space="preserve"> </w:t>
      </w:r>
      <w:r w:rsidR="00821853">
        <w:rPr>
          <w:rFonts w:ascii="Arial" w:hAnsi="Arial" w:cs="Arial"/>
        </w:rPr>
        <w:t>pro</w:t>
      </w:r>
      <w:r w:rsidR="00422BDA" w:rsidRPr="00753BB6">
        <w:rPr>
          <w:rFonts w:ascii="Arial" w:hAnsi="Arial" w:cs="Arial"/>
        </w:rPr>
        <w:t xml:space="preserve"> </w:t>
      </w:r>
      <w:r w:rsidR="00821853">
        <w:rPr>
          <w:rFonts w:ascii="Arial" w:hAnsi="Arial" w:cs="Arial"/>
        </w:rPr>
        <w:t xml:space="preserve">léčivé </w:t>
      </w:r>
      <w:r w:rsidR="00422BDA" w:rsidRPr="00753BB6">
        <w:rPr>
          <w:rFonts w:ascii="Arial" w:hAnsi="Arial" w:cs="Arial"/>
        </w:rPr>
        <w:t xml:space="preserve">přípravky v trvalé úhradě, </w:t>
      </w:r>
      <w:r w:rsidR="001E2AB9">
        <w:rPr>
          <w:rFonts w:ascii="Arial" w:hAnsi="Arial" w:cs="Arial"/>
        </w:rPr>
        <w:t>tak</w:t>
      </w:r>
      <w:r w:rsidR="00422BDA" w:rsidRPr="00753BB6">
        <w:rPr>
          <w:rFonts w:ascii="Arial" w:hAnsi="Arial" w:cs="Arial"/>
        </w:rPr>
        <w:t xml:space="preserve"> i </w:t>
      </w:r>
      <w:r w:rsidR="00821853">
        <w:rPr>
          <w:rFonts w:ascii="Arial" w:hAnsi="Arial" w:cs="Arial"/>
        </w:rPr>
        <w:t>pro</w:t>
      </w:r>
      <w:r w:rsidR="00422BDA" w:rsidRPr="00753BB6">
        <w:rPr>
          <w:rFonts w:ascii="Arial" w:hAnsi="Arial" w:cs="Arial"/>
        </w:rPr>
        <w:t xml:space="preserve"> </w:t>
      </w:r>
      <w:r w:rsidR="00821853">
        <w:rPr>
          <w:rFonts w:ascii="Arial" w:hAnsi="Arial" w:cs="Arial"/>
        </w:rPr>
        <w:t xml:space="preserve">léčivé </w:t>
      </w:r>
      <w:r w:rsidR="00422BDA" w:rsidRPr="00753BB6">
        <w:rPr>
          <w:rFonts w:ascii="Arial" w:hAnsi="Arial" w:cs="Arial"/>
        </w:rPr>
        <w:t xml:space="preserve">přípravky v úhradě dočasné. </w:t>
      </w:r>
      <w:r w:rsidR="00422BDA" w:rsidRPr="00753BB6">
        <w:rPr>
          <w:rFonts w:ascii="Arial" w:eastAsia="Times New Roman" w:hAnsi="Arial" w:cs="Arial"/>
          <w:lang w:eastAsia="cs-CZ"/>
        </w:rPr>
        <w:t>Vysoce inovativním léčivým přípravkem se nebude moci stát léčivý přípravek, který má srovnatelně účinnou léčebnou alternativu.</w:t>
      </w:r>
      <w:r w:rsidR="001E2AB9">
        <w:rPr>
          <w:rFonts w:ascii="Arial" w:eastAsia="Times New Roman" w:hAnsi="Arial" w:cs="Arial"/>
          <w:lang w:eastAsia="cs-CZ"/>
        </w:rPr>
        <w:t xml:space="preserve"> Obdobně platí totéž pro rozšiřování indikací již existujících vysoce inovativních léčivých přípravků.</w:t>
      </w:r>
    </w:p>
    <w:p w:rsidR="001E2AB9" w:rsidRPr="001E2AB9" w:rsidRDefault="001E2AB9" w:rsidP="00422BDA">
      <w:pPr>
        <w:spacing w:after="0" w:line="300" w:lineRule="atLeast"/>
        <w:contextualSpacing/>
        <w:jc w:val="both"/>
        <w:rPr>
          <w:rFonts w:ascii="Arial" w:eastAsia="Times New Roman" w:hAnsi="Arial" w:cs="Arial"/>
          <w:lang w:eastAsia="cs-CZ"/>
        </w:rPr>
      </w:pPr>
      <w:r>
        <w:rPr>
          <w:rFonts w:ascii="Arial" w:eastAsia="Times New Roman" w:hAnsi="Arial" w:cs="Arial"/>
          <w:lang w:eastAsia="cs-CZ"/>
        </w:rPr>
        <w:t xml:space="preserve">Vedle kritérií definujících vysoce inovativní léčivý přípravek </w:t>
      </w:r>
      <w:r w:rsidR="0028783B">
        <w:rPr>
          <w:rFonts w:ascii="Arial" w:eastAsia="Times New Roman" w:hAnsi="Arial" w:cs="Arial"/>
          <w:lang w:eastAsia="cs-CZ"/>
        </w:rPr>
        <w:t xml:space="preserve">uvedených </w:t>
      </w:r>
      <w:r>
        <w:rPr>
          <w:rFonts w:ascii="Arial" w:eastAsia="Times New Roman" w:hAnsi="Arial" w:cs="Arial"/>
          <w:lang w:eastAsia="cs-CZ"/>
        </w:rPr>
        <w:t>v</w:t>
      </w:r>
      <w:r w:rsidR="0028783B">
        <w:rPr>
          <w:rFonts w:ascii="Arial" w:eastAsia="Times New Roman" w:hAnsi="Arial" w:cs="Arial"/>
          <w:lang w:eastAsia="cs-CZ"/>
        </w:rPr>
        <w:t xml:space="preserve"> ustanovení </w:t>
      </w:r>
      <w:r>
        <w:rPr>
          <w:rFonts w:ascii="Arial" w:eastAsia="Times New Roman" w:hAnsi="Arial" w:cs="Arial"/>
          <w:lang w:eastAsia="cs-CZ"/>
        </w:rPr>
        <w:t>§ 40 odst. 2 vyhlášky č. 376/2011 Sb. i nadále platí kritéria obsažená v zákoně č. 48/1997 Sb., jako předpisu vyšší právní síly.</w:t>
      </w:r>
    </w:p>
    <w:p w:rsidR="00422BDA" w:rsidRDefault="00422BDA" w:rsidP="00422BDA">
      <w:pPr>
        <w:spacing w:after="0" w:line="300" w:lineRule="atLeast"/>
        <w:jc w:val="both"/>
        <w:outlineLvl w:val="0"/>
        <w:rPr>
          <w:rFonts w:ascii="Arial" w:eastAsia="Times New Roman" w:hAnsi="Arial" w:cs="Arial"/>
          <w:lang w:eastAsia="cs-CZ"/>
        </w:rPr>
      </w:pPr>
      <w:r w:rsidRPr="00753BB6">
        <w:rPr>
          <w:rFonts w:ascii="Arial" w:eastAsia="Times New Roman" w:hAnsi="Arial" w:cs="Arial"/>
          <w:lang w:eastAsia="cs-CZ"/>
        </w:rPr>
        <w:t>Slova „snížení úmrtnosti a k prodloužení střední doby přežití“ se nahrazují slovy „prodloužení celkové doby přežití“. Statistický údaj „celková doba přežití“ informuje, jak dlouho bude pacient s určitou nemocí naživu či jaké je jeho riziko úmrtí. Parametr celkové doby přežití nejlépe definuje účinnost a bezpečnost léčivého přípravku. Prodloužením celkové doby přežití se rozumí prodloužení doby od diagnostikování či začátku léčby onemocnění, kdy jsou pacienti stále na živu. V klinických studiích jsou změny v celkové době přežití využívány jako parametr účinnosti sledované léčby.</w:t>
      </w:r>
    </w:p>
    <w:p w:rsidR="0028783B" w:rsidRPr="0028783B" w:rsidRDefault="0028783B" w:rsidP="00422BDA">
      <w:pPr>
        <w:spacing w:after="0" w:line="300" w:lineRule="atLeast"/>
        <w:jc w:val="both"/>
        <w:outlineLvl w:val="0"/>
        <w:rPr>
          <w:rFonts w:ascii="Arial" w:eastAsia="Times New Roman" w:hAnsi="Arial" w:cs="Arial"/>
          <w:lang w:eastAsia="cs-CZ"/>
        </w:rPr>
      </w:pPr>
      <w:r w:rsidRPr="0028783B">
        <w:rPr>
          <w:rFonts w:ascii="Arial" w:eastAsiaTheme="minorEastAsia" w:hAnsi="Arial" w:cs="Arial"/>
          <w:lang w:eastAsia="cs-CZ"/>
        </w:rPr>
        <w:t>Uvedení, že vysoce inovativním léčivým přípravkem může být přípravek, který je určen k léčbě vysoce závažného onemocnění, které dosud nebylo ovlivnitelné jiným přípravkem, je formula</w:t>
      </w:r>
      <w:r>
        <w:rPr>
          <w:rFonts w:ascii="Arial" w:eastAsiaTheme="minorEastAsia" w:hAnsi="Arial" w:cs="Arial"/>
          <w:lang w:eastAsia="cs-CZ"/>
        </w:rPr>
        <w:t>ční zpřesnění</w:t>
      </w:r>
      <w:r w:rsidR="00821853">
        <w:rPr>
          <w:rFonts w:ascii="Arial" w:eastAsiaTheme="minorEastAsia" w:hAnsi="Arial" w:cs="Arial"/>
          <w:lang w:eastAsia="cs-CZ"/>
        </w:rPr>
        <w:t>, které</w:t>
      </w:r>
      <w:r w:rsidRPr="0028783B">
        <w:rPr>
          <w:rFonts w:ascii="Arial" w:eastAsiaTheme="minorEastAsia" w:hAnsi="Arial" w:cs="Arial"/>
          <w:lang w:eastAsia="cs-CZ"/>
        </w:rPr>
        <w:t xml:space="preserve"> odpovídá znění ustanovení § 39a odst. 8 zákona č. 48/1997 Sb.</w:t>
      </w:r>
    </w:p>
    <w:p w:rsidR="00422BDA" w:rsidRPr="00753BB6" w:rsidRDefault="00422BDA" w:rsidP="00422BDA">
      <w:pPr>
        <w:spacing w:after="0" w:line="300" w:lineRule="atLeast"/>
        <w:jc w:val="both"/>
        <w:outlineLvl w:val="0"/>
        <w:rPr>
          <w:rFonts w:ascii="Arial" w:eastAsia="Times New Roman" w:hAnsi="Arial" w:cs="Arial"/>
          <w:lang w:eastAsia="cs-CZ"/>
        </w:rPr>
      </w:pPr>
      <w:r>
        <w:rPr>
          <w:rFonts w:ascii="Arial" w:eastAsia="Times New Roman" w:hAnsi="Arial" w:cs="Arial"/>
          <w:lang w:eastAsia="cs-CZ"/>
        </w:rPr>
        <w:t xml:space="preserve">Slovo „terapie“ se nahrazuje slovem „léčba“, které odpovídá terminologii </w:t>
      </w:r>
      <w:r w:rsidRPr="00043040">
        <w:rPr>
          <w:rFonts w:ascii="Arial" w:eastAsia="Times New Roman" w:hAnsi="Arial" w:cs="Arial"/>
          <w:lang w:eastAsia="cs-CZ"/>
        </w:rPr>
        <w:t xml:space="preserve">ustanovení § 39a odst. 8 a § 39d odst. 1 </w:t>
      </w:r>
      <w:r>
        <w:rPr>
          <w:rFonts w:ascii="Arial" w:eastAsia="Times New Roman" w:hAnsi="Arial" w:cs="Arial"/>
          <w:lang w:eastAsia="cs-CZ"/>
        </w:rPr>
        <w:t>a odst. 6 zákona č. 48/1997 Sb., se kterými je toto ustanovení vyhlášky provázáno.</w:t>
      </w:r>
    </w:p>
    <w:p w:rsidR="00422BDA" w:rsidRPr="00753BB6" w:rsidRDefault="00422BDA" w:rsidP="00422BDA">
      <w:pPr>
        <w:spacing w:after="0" w:line="300" w:lineRule="atLeast"/>
        <w:jc w:val="both"/>
        <w:outlineLvl w:val="0"/>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K § 41 odst. 1 a odst. 2</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Navrhovaná úprava mění název smlouvy ze smlouvy o sdílení rizik na smlouvu o limitaci nákladů. Navrhovaná úprava dále </w:t>
      </w:r>
      <w:r w:rsidR="00AF6956">
        <w:rPr>
          <w:rFonts w:ascii="Arial" w:eastAsia="Times New Roman" w:hAnsi="Arial" w:cs="Arial"/>
          <w:lang w:eastAsia="cs-CZ"/>
        </w:rPr>
        <w:t>doplňuje</w:t>
      </w:r>
      <w:r w:rsidRPr="00753BB6">
        <w:rPr>
          <w:rFonts w:ascii="Arial" w:eastAsia="Times New Roman" w:hAnsi="Arial" w:cs="Arial"/>
          <w:lang w:eastAsia="cs-CZ"/>
        </w:rPr>
        <w:t xml:space="preserve"> </w:t>
      </w:r>
      <w:r w:rsidR="005E3FEA">
        <w:rPr>
          <w:rFonts w:ascii="Arial" w:eastAsia="Times New Roman" w:hAnsi="Arial" w:cs="Arial"/>
          <w:lang w:eastAsia="cs-CZ"/>
        </w:rPr>
        <w:t xml:space="preserve">možnost v případné smlouvě o limitaci nákladů zakotvit </w:t>
      </w:r>
      <w:r w:rsidRPr="00753BB6">
        <w:rPr>
          <w:rFonts w:ascii="Arial" w:eastAsia="Times New Roman" w:hAnsi="Arial" w:cs="Arial"/>
          <w:lang w:eastAsia="cs-CZ"/>
        </w:rPr>
        <w:t xml:space="preserve">sankci při nedodržení smluvních podmínek. </w:t>
      </w:r>
      <w:r w:rsidR="005E3FEA">
        <w:rPr>
          <w:rFonts w:ascii="Arial" w:eastAsia="Times New Roman" w:hAnsi="Arial" w:cs="Arial"/>
          <w:lang w:eastAsia="cs-CZ"/>
        </w:rPr>
        <w:t>Specifikací</w:t>
      </w:r>
      <w:r w:rsidRPr="00753BB6">
        <w:rPr>
          <w:rFonts w:ascii="Arial" w:eastAsia="Times New Roman" w:hAnsi="Arial" w:cs="Arial"/>
          <w:lang w:eastAsia="cs-CZ"/>
        </w:rPr>
        <w:t xml:space="preserve"> obsahu smlouvy navrhovanou právní úpravou se</w:t>
      </w:r>
      <w:r w:rsidR="00AF6956">
        <w:rPr>
          <w:rFonts w:ascii="Arial" w:eastAsia="Times New Roman" w:hAnsi="Arial" w:cs="Arial"/>
          <w:lang w:eastAsia="cs-CZ"/>
        </w:rPr>
        <w:t>,</w:t>
      </w:r>
      <w:r w:rsidRPr="00753BB6">
        <w:rPr>
          <w:rFonts w:ascii="Arial" w:eastAsia="Times New Roman" w:hAnsi="Arial" w:cs="Arial"/>
          <w:lang w:eastAsia="cs-CZ"/>
        </w:rPr>
        <w:t xml:space="preserve"> </w:t>
      </w:r>
      <w:r w:rsidR="00AF6956">
        <w:rPr>
          <w:rFonts w:ascii="Arial" w:eastAsia="Times New Roman" w:hAnsi="Arial" w:cs="Arial"/>
          <w:lang w:eastAsia="cs-CZ"/>
        </w:rPr>
        <w:t xml:space="preserve">vedle postihu nepřiznání druhé dočasné úhrady, </w:t>
      </w:r>
      <w:r w:rsidRPr="00753BB6">
        <w:rPr>
          <w:rFonts w:ascii="Arial" w:eastAsia="Times New Roman" w:hAnsi="Arial" w:cs="Arial"/>
          <w:lang w:eastAsia="cs-CZ"/>
        </w:rPr>
        <w:t xml:space="preserve">posiluje dodržení tohoto závazku prostřednictvím ujednání o sankci a zamezuje se </w:t>
      </w:r>
      <w:r w:rsidR="00821853">
        <w:rPr>
          <w:rFonts w:ascii="Arial" w:eastAsia="Times New Roman" w:hAnsi="Arial" w:cs="Arial"/>
          <w:lang w:eastAsia="cs-CZ"/>
        </w:rPr>
        <w:t xml:space="preserve">tím </w:t>
      </w:r>
      <w:r w:rsidRPr="00753BB6">
        <w:rPr>
          <w:rFonts w:ascii="Arial" w:eastAsia="Times New Roman" w:hAnsi="Arial" w:cs="Arial"/>
          <w:lang w:eastAsia="cs-CZ"/>
        </w:rPr>
        <w:t>neúčelnému vynakládání prostředků zdravotního pojištění.</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 xml:space="preserve">K § 45 odst. 3 nové písm. g) </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Nově se budou strukturou dostupných klinických hodnocení podle § 39f odst. 6 zákona</w:t>
      </w:r>
      <w:r w:rsidR="00821853">
        <w:rPr>
          <w:rFonts w:ascii="Arial" w:eastAsia="Times New Roman" w:hAnsi="Arial" w:cs="Arial"/>
          <w:lang w:eastAsia="cs-CZ"/>
        </w:rPr>
        <w:t xml:space="preserve"> č. 48/1997 Sb.</w:t>
      </w:r>
      <w:r w:rsidRPr="00753BB6">
        <w:rPr>
          <w:rFonts w:ascii="Arial" w:eastAsia="Times New Roman" w:hAnsi="Arial" w:cs="Arial"/>
          <w:lang w:eastAsia="cs-CZ"/>
        </w:rPr>
        <w:t xml:space="preserve"> rozumět mimo jiné také zdravotně-ekonomické modely. Jedná se o nástroje, které slouží k matematickému modelování nákladů a přínosů léčby daného onemocnění, a tedy ke zhodnocení nákladové efektivity, přičemž umožňují zahrnutí veškerých dostupných klinických dat, dat o kvalitě života, mortalitě a rovněž nákladů spojených s jednotlivými zdravotními stavy a událostmi, které u pacientů nastanou. Protože uvedené modelování slouží ke zhodnocení nákladové efektivity, lze je ve správních řízeních využívat k prokázání nákladové efektivity ve smyslu ustanovení § 15 odst. 8 zákona č. 48/1997 Sb.</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lastRenderedPageBreak/>
        <w:t xml:space="preserve">K čl. II </w:t>
      </w:r>
    </w:p>
    <w:p w:rsidR="00422BDA" w:rsidRPr="00753BB6" w:rsidRDefault="00422BDA" w:rsidP="00422BDA">
      <w:pPr>
        <w:spacing w:after="0" w:line="300" w:lineRule="atLeast"/>
        <w:jc w:val="both"/>
        <w:rPr>
          <w:rFonts w:ascii="Arial" w:eastAsia="Times New Roman" w:hAnsi="Arial" w:cs="Arial"/>
          <w:lang w:eastAsia="cs-CZ"/>
        </w:rPr>
      </w:pPr>
    </w:p>
    <w:p w:rsidR="00422BDA" w:rsidRPr="00753BB6" w:rsidRDefault="00422BDA" w:rsidP="00422BDA">
      <w:pPr>
        <w:spacing w:after="0" w:line="300" w:lineRule="atLeast"/>
        <w:jc w:val="both"/>
        <w:rPr>
          <w:rFonts w:ascii="Arial" w:hAnsi="Arial" w:cs="Arial"/>
          <w:szCs w:val="24"/>
        </w:rPr>
      </w:pPr>
      <w:r w:rsidRPr="00753BB6">
        <w:rPr>
          <w:rFonts w:ascii="Arial" w:eastAsia="Times New Roman" w:hAnsi="Arial" w:cs="Arial"/>
          <w:lang w:eastAsia="cs-CZ"/>
        </w:rPr>
        <w:t>Navrhuje se přechodné ustanovení, podle kterého se všechna správní řízení, která nebyla pravomocně skončena před účinností této vyhlášky, dokončí podle dosavadních předpisů.</w:t>
      </w:r>
      <w:r w:rsidRPr="00753BB6">
        <w:rPr>
          <w:rFonts w:ascii="Arial" w:hAnsi="Arial" w:cs="Arial"/>
          <w:szCs w:val="24"/>
        </w:rPr>
        <w:t xml:space="preserve"> </w:t>
      </w:r>
      <w:r w:rsidRPr="00753BB6">
        <w:rPr>
          <w:rFonts w:ascii="Arial" w:eastAsia="Times New Roman" w:hAnsi="Arial" w:cs="Arial"/>
          <w:lang w:eastAsia="cs-CZ"/>
        </w:rPr>
        <w:t>Bylo-li rozhodnutí zrušeno a vráceno soudem k novému projednání správnímu orgánu</w:t>
      </w:r>
      <w:r w:rsidR="0026262C" w:rsidRPr="0026262C">
        <w:rPr>
          <w:rFonts w:ascii="Arial" w:eastAsia="Times New Roman" w:hAnsi="Arial" w:cs="Arial"/>
          <w:lang w:eastAsia="cs-CZ"/>
        </w:rPr>
        <w:t xml:space="preserve"> </w:t>
      </w:r>
      <w:r w:rsidR="0026262C" w:rsidRPr="00753BB6">
        <w:rPr>
          <w:rFonts w:ascii="Arial" w:eastAsia="Times New Roman" w:hAnsi="Arial" w:cs="Arial"/>
          <w:lang w:eastAsia="cs-CZ"/>
        </w:rPr>
        <w:t>před účinností této vyhlášky</w:t>
      </w:r>
      <w:r w:rsidRPr="00753BB6">
        <w:rPr>
          <w:rFonts w:ascii="Arial" w:eastAsia="Times New Roman" w:hAnsi="Arial" w:cs="Arial"/>
          <w:lang w:eastAsia="cs-CZ"/>
        </w:rPr>
        <w:t xml:space="preserve">, postupuje se při novém projednání věci před správním orgánem podle dosavadních předpisů. </w:t>
      </w:r>
      <w:r w:rsidR="0026262C" w:rsidRPr="0026262C">
        <w:rPr>
          <w:rFonts w:ascii="Arial" w:eastAsia="Times New Roman" w:hAnsi="Arial" w:cs="Arial"/>
          <w:lang w:eastAsia="cs-CZ"/>
        </w:rPr>
        <w:t>Bylo-li rozhodnutí zrušeno a vráceno k novému projednání správnímu orgánu po účinnosti této vyhlášky, postupuje se podle této vyhlášky.</w:t>
      </w:r>
    </w:p>
    <w:p w:rsidR="00422BDA" w:rsidRPr="00753BB6" w:rsidRDefault="0026262C" w:rsidP="00422BDA">
      <w:pPr>
        <w:spacing w:after="0" w:line="300" w:lineRule="atLeast"/>
        <w:jc w:val="both"/>
        <w:rPr>
          <w:rFonts w:ascii="Arial" w:eastAsia="Times New Roman" w:hAnsi="Arial" w:cs="Arial"/>
          <w:lang w:eastAsia="cs-CZ"/>
        </w:rPr>
      </w:pPr>
      <w:r>
        <w:rPr>
          <w:rFonts w:ascii="Arial" w:eastAsia="Times New Roman" w:hAnsi="Arial" w:cs="Arial"/>
          <w:lang w:eastAsia="cs-CZ"/>
        </w:rPr>
        <w:t xml:space="preserve">U věcí vrácených soudem </w:t>
      </w:r>
      <w:r w:rsidR="00422BDA" w:rsidRPr="00753BB6">
        <w:rPr>
          <w:rFonts w:ascii="Arial" w:eastAsia="Times New Roman" w:hAnsi="Arial" w:cs="Arial"/>
          <w:lang w:eastAsia="cs-CZ"/>
        </w:rPr>
        <w:t xml:space="preserve">před účinnosti novely vyhlášky se </w:t>
      </w:r>
      <w:r>
        <w:rPr>
          <w:rFonts w:ascii="Arial" w:eastAsia="Times New Roman" w:hAnsi="Arial" w:cs="Arial"/>
          <w:lang w:eastAsia="cs-CZ"/>
        </w:rPr>
        <w:t xml:space="preserve">tedy </w:t>
      </w:r>
      <w:r w:rsidR="00422BDA" w:rsidRPr="00753BB6">
        <w:rPr>
          <w:rFonts w:ascii="Arial" w:eastAsia="Times New Roman" w:hAnsi="Arial" w:cs="Arial"/>
          <w:lang w:eastAsia="cs-CZ"/>
        </w:rPr>
        <w:t xml:space="preserve">nebude aplikovat nové znění vyhlášky. Při vrácení věci soudem v době po účinnosti této vyhlášky se </w:t>
      </w:r>
      <w:r>
        <w:rPr>
          <w:rFonts w:ascii="Arial" w:eastAsia="Times New Roman" w:hAnsi="Arial" w:cs="Arial"/>
          <w:lang w:eastAsia="cs-CZ"/>
        </w:rPr>
        <w:t xml:space="preserve">však </w:t>
      </w:r>
      <w:r w:rsidR="00422BDA" w:rsidRPr="00753BB6">
        <w:rPr>
          <w:rFonts w:ascii="Arial" w:eastAsia="Times New Roman" w:hAnsi="Arial" w:cs="Arial"/>
          <w:lang w:eastAsia="cs-CZ"/>
        </w:rPr>
        <w:t xml:space="preserve">bude postupovat již podle nového znění vyhlášky. </w:t>
      </w:r>
    </w:p>
    <w:p w:rsidR="00422BDA" w:rsidRPr="00753BB6" w:rsidRDefault="00422BDA" w:rsidP="00422BDA">
      <w:pPr>
        <w:spacing w:after="0" w:line="300" w:lineRule="atLeast"/>
        <w:jc w:val="both"/>
        <w:rPr>
          <w:rFonts w:ascii="Arial" w:eastAsia="Times New Roman" w:hAnsi="Arial" w:cs="Arial"/>
          <w:b/>
          <w:lang w:eastAsia="cs-CZ"/>
        </w:rPr>
      </w:pPr>
    </w:p>
    <w:p w:rsidR="00422BDA" w:rsidRPr="00753BB6" w:rsidRDefault="00422BDA" w:rsidP="00422BDA">
      <w:pPr>
        <w:spacing w:after="0" w:line="300" w:lineRule="atLeast"/>
        <w:jc w:val="both"/>
        <w:rPr>
          <w:rFonts w:ascii="Arial" w:eastAsia="Times New Roman" w:hAnsi="Arial" w:cs="Arial"/>
          <w:b/>
          <w:lang w:eastAsia="cs-CZ"/>
        </w:rPr>
      </w:pPr>
      <w:r w:rsidRPr="00753BB6">
        <w:rPr>
          <w:rFonts w:ascii="Arial" w:eastAsia="Times New Roman" w:hAnsi="Arial" w:cs="Arial"/>
          <w:b/>
          <w:lang w:eastAsia="cs-CZ"/>
        </w:rPr>
        <w:t>K čl. III</w:t>
      </w:r>
    </w:p>
    <w:p w:rsidR="00422BDA" w:rsidRPr="00753BB6" w:rsidRDefault="00422BDA" w:rsidP="00422BDA">
      <w:pPr>
        <w:spacing w:after="0" w:line="300" w:lineRule="atLeast"/>
        <w:jc w:val="both"/>
        <w:rPr>
          <w:rFonts w:ascii="Arial" w:eastAsia="Times New Roman" w:hAnsi="Arial" w:cs="Arial"/>
          <w:b/>
          <w:lang w:eastAsia="cs-CZ"/>
        </w:rPr>
      </w:pPr>
    </w:p>
    <w:p w:rsidR="00BC5C06" w:rsidRPr="00382816" w:rsidRDefault="00422BDA" w:rsidP="00382816">
      <w:pPr>
        <w:spacing w:after="0" w:line="300" w:lineRule="atLeast"/>
        <w:jc w:val="both"/>
        <w:rPr>
          <w:rFonts w:ascii="Arial" w:eastAsia="Times New Roman" w:hAnsi="Arial" w:cs="Arial"/>
          <w:lang w:eastAsia="cs-CZ"/>
        </w:rPr>
      </w:pPr>
      <w:r w:rsidRPr="00753BB6">
        <w:rPr>
          <w:rFonts w:ascii="Arial" w:eastAsia="Times New Roman" w:hAnsi="Arial" w:cs="Arial"/>
          <w:lang w:eastAsia="cs-CZ"/>
        </w:rPr>
        <w:t xml:space="preserve">Navrhuje se nabytí účinnosti </w:t>
      </w:r>
      <w:r w:rsidR="00382816">
        <w:rPr>
          <w:rFonts w:ascii="Arial" w:eastAsia="Times New Roman" w:hAnsi="Arial" w:cs="Arial"/>
          <w:lang w:eastAsia="cs-CZ"/>
        </w:rPr>
        <w:t>vyhlášky dnem jejího vyhlášení.</w:t>
      </w:r>
    </w:p>
    <w:p w:rsidR="00BC5C06" w:rsidRDefault="00BC5C06" w:rsidP="00AE62C1">
      <w:pPr>
        <w:spacing w:after="0" w:line="360" w:lineRule="auto"/>
        <w:jc w:val="both"/>
        <w:rPr>
          <w:rFonts w:ascii="Arial" w:eastAsia="Times New Roman" w:hAnsi="Arial" w:cs="Arial"/>
          <w:color w:val="000000"/>
          <w:lang w:eastAsia="cs-CZ"/>
        </w:rPr>
      </w:pPr>
    </w:p>
    <w:p w:rsidR="00821853" w:rsidRDefault="00821853" w:rsidP="00AE62C1">
      <w:pPr>
        <w:spacing w:after="0" w:line="360" w:lineRule="auto"/>
        <w:jc w:val="both"/>
        <w:rPr>
          <w:rFonts w:ascii="Arial" w:eastAsia="Times New Roman" w:hAnsi="Arial" w:cs="Arial"/>
          <w:color w:val="000000"/>
          <w:lang w:eastAsia="cs-CZ"/>
        </w:rPr>
      </w:pPr>
    </w:p>
    <w:p w:rsidR="00821853" w:rsidRDefault="00821853" w:rsidP="00AE62C1">
      <w:pPr>
        <w:spacing w:after="0" w:line="360" w:lineRule="auto"/>
        <w:jc w:val="both"/>
        <w:rPr>
          <w:rFonts w:ascii="Arial" w:eastAsia="Times New Roman" w:hAnsi="Arial" w:cs="Arial"/>
          <w:color w:val="000000"/>
          <w:lang w:eastAsia="cs-CZ"/>
        </w:rPr>
      </w:pPr>
    </w:p>
    <w:p w:rsidR="00821853" w:rsidRDefault="00821853" w:rsidP="00AE62C1">
      <w:pPr>
        <w:spacing w:after="0" w:line="360" w:lineRule="auto"/>
        <w:jc w:val="both"/>
        <w:rPr>
          <w:rFonts w:ascii="Arial" w:eastAsia="Times New Roman" w:hAnsi="Arial" w:cs="Arial"/>
          <w:color w:val="000000"/>
          <w:lang w:eastAsia="cs-CZ"/>
        </w:rPr>
      </w:pPr>
    </w:p>
    <w:sectPr w:rsidR="00821853" w:rsidSect="00DA5A11">
      <w:headerReference w:type="default" r:id="rId12"/>
      <w:footerReference w:type="default" r:id="rId13"/>
      <w:pgSz w:w="11906" w:h="16838" w:code="9"/>
      <w:pgMar w:top="1276" w:right="1133" w:bottom="2268" w:left="1134"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42" w:rsidRDefault="00454142" w:rsidP="00EA7E2C">
      <w:pPr>
        <w:spacing w:after="0" w:line="240" w:lineRule="auto"/>
      </w:pPr>
      <w:r>
        <w:separator/>
      </w:r>
    </w:p>
  </w:endnote>
  <w:endnote w:type="continuationSeparator" w:id="0">
    <w:p w:rsidR="00454142" w:rsidRDefault="00454142" w:rsidP="00EA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9420"/>
      <w:docPartObj>
        <w:docPartGallery w:val="Page Numbers (Bottom of Page)"/>
        <w:docPartUnique/>
      </w:docPartObj>
    </w:sdtPr>
    <w:sdtEndPr/>
    <w:sdtContent>
      <w:p w:rsidR="00454142" w:rsidRDefault="00454142">
        <w:pPr>
          <w:pStyle w:val="Zpat"/>
          <w:jc w:val="right"/>
        </w:pPr>
        <w:r>
          <w:fldChar w:fldCharType="begin"/>
        </w:r>
        <w:r>
          <w:instrText>PAGE   \* MERGEFORMAT</w:instrText>
        </w:r>
        <w:r>
          <w:fldChar w:fldCharType="separate"/>
        </w:r>
        <w:r w:rsidR="00EF574F">
          <w:rPr>
            <w:noProof/>
          </w:rPr>
          <w:t>1</w:t>
        </w:r>
        <w:r>
          <w:fldChar w:fldCharType="end"/>
        </w:r>
      </w:p>
    </w:sdtContent>
  </w:sdt>
  <w:p w:rsidR="00454142" w:rsidRDefault="004541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42" w:rsidRDefault="00454142" w:rsidP="00EA7E2C">
      <w:pPr>
        <w:spacing w:after="0" w:line="240" w:lineRule="auto"/>
      </w:pPr>
      <w:r>
        <w:separator/>
      </w:r>
    </w:p>
  </w:footnote>
  <w:footnote w:type="continuationSeparator" w:id="0">
    <w:p w:rsidR="00454142" w:rsidRDefault="00454142" w:rsidP="00EA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42" w:rsidRDefault="00454142" w:rsidP="001525D8">
    <w:pPr>
      <w:pStyle w:val="Zhlav"/>
      <w:tabs>
        <w:tab w:val="clear" w:pos="4536"/>
        <w:tab w:val="clear" w:pos="9072"/>
        <w:tab w:val="center" w:pos="4309"/>
      </w:tabs>
      <w:ind w:left="-756"/>
    </w:pPr>
  </w:p>
  <w:p w:rsidR="00454142" w:rsidRDefault="00454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CEC"/>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ADE0D50"/>
    <w:multiLevelType w:val="hybridMultilevel"/>
    <w:tmpl w:val="EF3EA00C"/>
    <w:lvl w:ilvl="0" w:tplc="A51CD55E">
      <w:start w:val="1"/>
      <w:numFmt w:val="decimal"/>
      <w:pStyle w:val="slovn"/>
      <w:lvlText w:val="%1."/>
      <w:lvlJc w:val="left"/>
      <w:pPr>
        <w:tabs>
          <w:tab w:val="num" w:pos="1140"/>
        </w:tabs>
        <w:ind w:left="1140" w:hanging="397"/>
      </w:pPr>
      <w:rPr>
        <w:rFonts w:hint="default"/>
      </w:rPr>
    </w:lvl>
    <w:lvl w:ilvl="1" w:tplc="04050019" w:tentative="1">
      <w:start w:val="1"/>
      <w:numFmt w:val="lowerLetter"/>
      <w:lvlText w:val="%2."/>
      <w:lvlJc w:val="left"/>
      <w:pPr>
        <w:tabs>
          <w:tab w:val="num" w:pos="1474"/>
        </w:tabs>
        <w:ind w:left="1474" w:hanging="360"/>
      </w:pPr>
    </w:lvl>
    <w:lvl w:ilvl="2" w:tplc="0405001B" w:tentative="1">
      <w:start w:val="1"/>
      <w:numFmt w:val="lowerRoman"/>
      <w:lvlText w:val="%3."/>
      <w:lvlJc w:val="right"/>
      <w:pPr>
        <w:tabs>
          <w:tab w:val="num" w:pos="2194"/>
        </w:tabs>
        <w:ind w:left="2194" w:hanging="180"/>
      </w:pPr>
    </w:lvl>
    <w:lvl w:ilvl="3" w:tplc="0405000F" w:tentative="1">
      <w:start w:val="1"/>
      <w:numFmt w:val="decimal"/>
      <w:lvlText w:val="%4."/>
      <w:lvlJc w:val="left"/>
      <w:pPr>
        <w:tabs>
          <w:tab w:val="num" w:pos="2914"/>
        </w:tabs>
        <w:ind w:left="2914" w:hanging="360"/>
      </w:pPr>
    </w:lvl>
    <w:lvl w:ilvl="4" w:tplc="04050019" w:tentative="1">
      <w:start w:val="1"/>
      <w:numFmt w:val="lowerLetter"/>
      <w:lvlText w:val="%5."/>
      <w:lvlJc w:val="left"/>
      <w:pPr>
        <w:tabs>
          <w:tab w:val="num" w:pos="3634"/>
        </w:tabs>
        <w:ind w:left="3634" w:hanging="360"/>
      </w:pPr>
    </w:lvl>
    <w:lvl w:ilvl="5" w:tplc="0405001B" w:tentative="1">
      <w:start w:val="1"/>
      <w:numFmt w:val="lowerRoman"/>
      <w:lvlText w:val="%6."/>
      <w:lvlJc w:val="right"/>
      <w:pPr>
        <w:tabs>
          <w:tab w:val="num" w:pos="4354"/>
        </w:tabs>
        <w:ind w:left="4354" w:hanging="180"/>
      </w:pPr>
    </w:lvl>
    <w:lvl w:ilvl="6" w:tplc="0405000F" w:tentative="1">
      <w:start w:val="1"/>
      <w:numFmt w:val="decimal"/>
      <w:lvlText w:val="%7."/>
      <w:lvlJc w:val="left"/>
      <w:pPr>
        <w:tabs>
          <w:tab w:val="num" w:pos="5074"/>
        </w:tabs>
        <w:ind w:left="5074" w:hanging="360"/>
      </w:pPr>
    </w:lvl>
    <w:lvl w:ilvl="7" w:tplc="04050019" w:tentative="1">
      <w:start w:val="1"/>
      <w:numFmt w:val="lowerLetter"/>
      <w:lvlText w:val="%8."/>
      <w:lvlJc w:val="left"/>
      <w:pPr>
        <w:tabs>
          <w:tab w:val="num" w:pos="5794"/>
        </w:tabs>
        <w:ind w:left="5794" w:hanging="360"/>
      </w:pPr>
    </w:lvl>
    <w:lvl w:ilvl="8" w:tplc="0405001B" w:tentative="1">
      <w:start w:val="1"/>
      <w:numFmt w:val="lowerRoman"/>
      <w:lvlText w:val="%9."/>
      <w:lvlJc w:val="right"/>
      <w:pPr>
        <w:tabs>
          <w:tab w:val="num" w:pos="6514"/>
        </w:tabs>
        <w:ind w:left="6514" w:hanging="180"/>
      </w:pPr>
    </w:lvl>
  </w:abstractNum>
  <w:abstractNum w:abstractNumId="2">
    <w:nsid w:val="10B10E46"/>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327E96"/>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F33767"/>
    <w:multiLevelType w:val="hybridMultilevel"/>
    <w:tmpl w:val="2EC83AC4"/>
    <w:lvl w:ilvl="0" w:tplc="DEB452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F34260"/>
    <w:multiLevelType w:val="hybridMultilevel"/>
    <w:tmpl w:val="946A3968"/>
    <w:lvl w:ilvl="0" w:tplc="D2D00D4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E526020"/>
    <w:multiLevelType w:val="hybridMultilevel"/>
    <w:tmpl w:val="DC58CF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4337554"/>
    <w:multiLevelType w:val="hybridMultilevel"/>
    <w:tmpl w:val="2A7C3B8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288666BE"/>
    <w:multiLevelType w:val="hybridMultilevel"/>
    <w:tmpl w:val="2870CFB8"/>
    <w:lvl w:ilvl="0" w:tplc="2CFABB04">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9">
    <w:nsid w:val="2D4A23E7"/>
    <w:multiLevelType w:val="hybridMultilevel"/>
    <w:tmpl w:val="625A74D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A932B7"/>
    <w:multiLevelType w:val="hybridMultilevel"/>
    <w:tmpl w:val="9F2AA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31203"/>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F7A050A"/>
    <w:multiLevelType w:val="multilevel"/>
    <w:tmpl w:val="DECE0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806754"/>
    <w:multiLevelType w:val="hybridMultilevel"/>
    <w:tmpl w:val="303A6F20"/>
    <w:lvl w:ilvl="0" w:tplc="EACA0A2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44D1E35"/>
    <w:multiLevelType w:val="hybridMultilevel"/>
    <w:tmpl w:val="2ECEDDD2"/>
    <w:lvl w:ilvl="0" w:tplc="0405000D">
      <w:start w:val="1"/>
      <w:numFmt w:val="bullet"/>
      <w:lvlText w:val=""/>
      <w:lvlJc w:val="left"/>
      <w:pPr>
        <w:ind w:left="2136" w:hanging="360"/>
      </w:pPr>
      <w:rPr>
        <w:rFonts w:ascii="Wingdings" w:hAnsi="Wingdings"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15">
    <w:nsid w:val="38EE337F"/>
    <w:multiLevelType w:val="hybridMultilevel"/>
    <w:tmpl w:val="096015BE"/>
    <w:lvl w:ilvl="0" w:tplc="C700031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B1AFA"/>
    <w:multiLevelType w:val="hybridMultilevel"/>
    <w:tmpl w:val="BA6A29A8"/>
    <w:lvl w:ilvl="0" w:tplc="8020F24A">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EE64FE5"/>
    <w:multiLevelType w:val="hybridMultilevel"/>
    <w:tmpl w:val="D134601E"/>
    <w:lvl w:ilvl="0" w:tplc="4C4E9D3E">
      <w:start w:val="1"/>
      <w:numFmt w:val="decimal"/>
      <w:lvlText w:val="%1."/>
      <w:lvlJc w:val="left"/>
      <w:pPr>
        <w:ind w:left="180" w:hanging="360"/>
      </w:pPr>
      <w:rPr>
        <w:rFonts w:cs="Times New Roman" w:hint="default"/>
      </w:rPr>
    </w:lvl>
    <w:lvl w:ilvl="1" w:tplc="04050019" w:tentative="1">
      <w:start w:val="1"/>
      <w:numFmt w:val="lowerLetter"/>
      <w:lvlText w:val="%2."/>
      <w:lvlJc w:val="left"/>
      <w:pPr>
        <w:ind w:left="900" w:hanging="360"/>
      </w:pPr>
      <w:rPr>
        <w:rFonts w:cs="Times New Roman"/>
      </w:rPr>
    </w:lvl>
    <w:lvl w:ilvl="2" w:tplc="0405001B" w:tentative="1">
      <w:start w:val="1"/>
      <w:numFmt w:val="lowerRoman"/>
      <w:lvlText w:val="%3."/>
      <w:lvlJc w:val="right"/>
      <w:pPr>
        <w:ind w:left="1620" w:hanging="180"/>
      </w:pPr>
      <w:rPr>
        <w:rFonts w:cs="Times New Roman"/>
      </w:rPr>
    </w:lvl>
    <w:lvl w:ilvl="3" w:tplc="0405000F" w:tentative="1">
      <w:start w:val="1"/>
      <w:numFmt w:val="decimal"/>
      <w:lvlText w:val="%4."/>
      <w:lvlJc w:val="left"/>
      <w:pPr>
        <w:ind w:left="2340" w:hanging="360"/>
      </w:pPr>
      <w:rPr>
        <w:rFonts w:cs="Times New Roman"/>
      </w:rPr>
    </w:lvl>
    <w:lvl w:ilvl="4" w:tplc="04050019" w:tentative="1">
      <w:start w:val="1"/>
      <w:numFmt w:val="lowerLetter"/>
      <w:lvlText w:val="%5."/>
      <w:lvlJc w:val="left"/>
      <w:pPr>
        <w:ind w:left="3060" w:hanging="360"/>
      </w:pPr>
      <w:rPr>
        <w:rFonts w:cs="Times New Roman"/>
      </w:rPr>
    </w:lvl>
    <w:lvl w:ilvl="5" w:tplc="0405001B" w:tentative="1">
      <w:start w:val="1"/>
      <w:numFmt w:val="lowerRoman"/>
      <w:lvlText w:val="%6."/>
      <w:lvlJc w:val="right"/>
      <w:pPr>
        <w:ind w:left="3780" w:hanging="180"/>
      </w:pPr>
      <w:rPr>
        <w:rFonts w:cs="Times New Roman"/>
      </w:rPr>
    </w:lvl>
    <w:lvl w:ilvl="6" w:tplc="0405000F" w:tentative="1">
      <w:start w:val="1"/>
      <w:numFmt w:val="decimal"/>
      <w:lvlText w:val="%7."/>
      <w:lvlJc w:val="left"/>
      <w:pPr>
        <w:ind w:left="4500" w:hanging="360"/>
      </w:pPr>
      <w:rPr>
        <w:rFonts w:cs="Times New Roman"/>
      </w:rPr>
    </w:lvl>
    <w:lvl w:ilvl="7" w:tplc="04050019" w:tentative="1">
      <w:start w:val="1"/>
      <w:numFmt w:val="lowerLetter"/>
      <w:lvlText w:val="%8."/>
      <w:lvlJc w:val="left"/>
      <w:pPr>
        <w:ind w:left="5220" w:hanging="360"/>
      </w:pPr>
      <w:rPr>
        <w:rFonts w:cs="Times New Roman"/>
      </w:rPr>
    </w:lvl>
    <w:lvl w:ilvl="8" w:tplc="0405001B" w:tentative="1">
      <w:start w:val="1"/>
      <w:numFmt w:val="lowerRoman"/>
      <w:lvlText w:val="%9."/>
      <w:lvlJc w:val="right"/>
      <w:pPr>
        <w:ind w:left="5940" w:hanging="180"/>
      </w:pPr>
      <w:rPr>
        <w:rFonts w:cs="Times New Roman"/>
      </w:rPr>
    </w:lvl>
  </w:abstractNum>
  <w:abstractNum w:abstractNumId="18">
    <w:nsid w:val="42D105B8"/>
    <w:multiLevelType w:val="hybridMultilevel"/>
    <w:tmpl w:val="3C8C492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44AF1FEC"/>
    <w:multiLevelType w:val="hybridMultilevel"/>
    <w:tmpl w:val="08D654F2"/>
    <w:lvl w:ilvl="0" w:tplc="2CD8E1B4">
      <w:start w:val="1"/>
      <w:numFmt w:val="upperRoman"/>
      <w:lvlText w:val="%1."/>
      <w:lvlJc w:val="right"/>
      <w:pPr>
        <w:tabs>
          <w:tab w:val="num" w:pos="720"/>
        </w:tabs>
        <w:ind w:left="720" w:hanging="18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50050C1"/>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D1C7402"/>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D712973"/>
    <w:multiLevelType w:val="hybridMultilevel"/>
    <w:tmpl w:val="4DB6C9DE"/>
    <w:lvl w:ilvl="0" w:tplc="1AD810B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0562A5E"/>
    <w:multiLevelType w:val="hybridMultilevel"/>
    <w:tmpl w:val="6E2AC63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A072F9"/>
    <w:multiLevelType w:val="hybridMultilevel"/>
    <w:tmpl w:val="FC18E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953F50"/>
    <w:multiLevelType w:val="hybridMultilevel"/>
    <w:tmpl w:val="66CA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F8082C"/>
    <w:multiLevelType w:val="hybridMultilevel"/>
    <w:tmpl w:val="3EC67C0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7">
    <w:nsid w:val="5D8165C7"/>
    <w:multiLevelType w:val="hybridMultilevel"/>
    <w:tmpl w:val="7A2ED0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6"/>
  </w:num>
  <w:num w:numId="11">
    <w:abstractNumId w:val="3"/>
  </w:num>
  <w:num w:numId="12">
    <w:abstractNumId w:val="21"/>
  </w:num>
  <w:num w:numId="13">
    <w:abstractNumId w:val="11"/>
  </w:num>
  <w:num w:numId="14">
    <w:abstractNumId w:val="0"/>
  </w:num>
  <w:num w:numId="15">
    <w:abstractNumId w:val="20"/>
  </w:num>
  <w:num w:numId="16">
    <w:abstractNumId w:val="22"/>
  </w:num>
  <w:num w:numId="17">
    <w:abstractNumId w:val="10"/>
  </w:num>
  <w:num w:numId="18">
    <w:abstractNumId w:val="1"/>
  </w:num>
  <w:num w:numId="19">
    <w:abstractNumId w:val="1"/>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25"/>
  </w:num>
  <w:num w:numId="24">
    <w:abstractNumId w:val="18"/>
  </w:num>
  <w:num w:numId="25">
    <w:abstractNumId w:val="27"/>
  </w:num>
  <w:num w:numId="26">
    <w:abstractNumId w:val="24"/>
  </w:num>
  <w:num w:numId="27">
    <w:abstractNumId w:val="26"/>
  </w:num>
  <w:num w:numId="28">
    <w:abstractNumId w:val="12"/>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2C"/>
    <w:rsid w:val="000011C5"/>
    <w:rsid w:val="00003C76"/>
    <w:rsid w:val="00007ECA"/>
    <w:rsid w:val="000108B8"/>
    <w:rsid w:val="00012314"/>
    <w:rsid w:val="00013A09"/>
    <w:rsid w:val="00015BA3"/>
    <w:rsid w:val="0001797C"/>
    <w:rsid w:val="00020737"/>
    <w:rsid w:val="00021208"/>
    <w:rsid w:val="000217F4"/>
    <w:rsid w:val="00024E19"/>
    <w:rsid w:val="000300F9"/>
    <w:rsid w:val="00030224"/>
    <w:rsid w:val="0003066E"/>
    <w:rsid w:val="0003535A"/>
    <w:rsid w:val="00041320"/>
    <w:rsid w:val="000420B5"/>
    <w:rsid w:val="00043040"/>
    <w:rsid w:val="000433A3"/>
    <w:rsid w:val="00043BEC"/>
    <w:rsid w:val="00044483"/>
    <w:rsid w:val="00051778"/>
    <w:rsid w:val="0005666F"/>
    <w:rsid w:val="00067662"/>
    <w:rsid w:val="000701B6"/>
    <w:rsid w:val="00070734"/>
    <w:rsid w:val="00072573"/>
    <w:rsid w:val="00077BD9"/>
    <w:rsid w:val="00077E4A"/>
    <w:rsid w:val="000803E8"/>
    <w:rsid w:val="00083CBE"/>
    <w:rsid w:val="00084644"/>
    <w:rsid w:val="00093ECF"/>
    <w:rsid w:val="00094BE5"/>
    <w:rsid w:val="000A432F"/>
    <w:rsid w:val="000A69E0"/>
    <w:rsid w:val="000B13BB"/>
    <w:rsid w:val="000B289E"/>
    <w:rsid w:val="000B5653"/>
    <w:rsid w:val="000B5E53"/>
    <w:rsid w:val="000C0F61"/>
    <w:rsid w:val="000C1C40"/>
    <w:rsid w:val="000C3E93"/>
    <w:rsid w:val="000D073C"/>
    <w:rsid w:val="000D0D48"/>
    <w:rsid w:val="000D5267"/>
    <w:rsid w:val="000D7E40"/>
    <w:rsid w:val="000E0F61"/>
    <w:rsid w:val="000E55C0"/>
    <w:rsid w:val="000E7140"/>
    <w:rsid w:val="000F0450"/>
    <w:rsid w:val="000F1407"/>
    <w:rsid w:val="000F1F92"/>
    <w:rsid w:val="000F435E"/>
    <w:rsid w:val="000F4E0E"/>
    <w:rsid w:val="000F6368"/>
    <w:rsid w:val="00101302"/>
    <w:rsid w:val="0010174C"/>
    <w:rsid w:val="001048C9"/>
    <w:rsid w:val="001102A2"/>
    <w:rsid w:val="00110AA1"/>
    <w:rsid w:val="0011376E"/>
    <w:rsid w:val="001143DB"/>
    <w:rsid w:val="001208A4"/>
    <w:rsid w:val="00121C52"/>
    <w:rsid w:val="00121FF0"/>
    <w:rsid w:val="00124C48"/>
    <w:rsid w:val="001445F6"/>
    <w:rsid w:val="0015257F"/>
    <w:rsid w:val="001525D8"/>
    <w:rsid w:val="00155D2B"/>
    <w:rsid w:val="00161A3A"/>
    <w:rsid w:val="001626D2"/>
    <w:rsid w:val="00167B3E"/>
    <w:rsid w:val="00170F80"/>
    <w:rsid w:val="00185EB1"/>
    <w:rsid w:val="001868FA"/>
    <w:rsid w:val="00187F72"/>
    <w:rsid w:val="00193C7F"/>
    <w:rsid w:val="001978E2"/>
    <w:rsid w:val="001B440B"/>
    <w:rsid w:val="001B4DB1"/>
    <w:rsid w:val="001C0EA6"/>
    <w:rsid w:val="001C1838"/>
    <w:rsid w:val="001C4722"/>
    <w:rsid w:val="001C71B4"/>
    <w:rsid w:val="001D0092"/>
    <w:rsid w:val="001D34BC"/>
    <w:rsid w:val="001D3648"/>
    <w:rsid w:val="001D5903"/>
    <w:rsid w:val="001E0555"/>
    <w:rsid w:val="001E2AB9"/>
    <w:rsid w:val="001F0541"/>
    <w:rsid w:val="001F4CBF"/>
    <w:rsid w:val="00203A24"/>
    <w:rsid w:val="0020506A"/>
    <w:rsid w:val="00205892"/>
    <w:rsid w:val="00222E8B"/>
    <w:rsid w:val="00224BA1"/>
    <w:rsid w:val="0022748E"/>
    <w:rsid w:val="00230466"/>
    <w:rsid w:val="00230D66"/>
    <w:rsid w:val="00231E74"/>
    <w:rsid w:val="00234FF2"/>
    <w:rsid w:val="002417DF"/>
    <w:rsid w:val="00241F1A"/>
    <w:rsid w:val="00251DF3"/>
    <w:rsid w:val="00260A7A"/>
    <w:rsid w:val="0026262C"/>
    <w:rsid w:val="00265390"/>
    <w:rsid w:val="002663B0"/>
    <w:rsid w:val="00266484"/>
    <w:rsid w:val="002673F6"/>
    <w:rsid w:val="00267A0A"/>
    <w:rsid w:val="00270885"/>
    <w:rsid w:val="00272EDE"/>
    <w:rsid w:val="00274D95"/>
    <w:rsid w:val="00280F44"/>
    <w:rsid w:val="0028783B"/>
    <w:rsid w:val="00290BCF"/>
    <w:rsid w:val="00294E5A"/>
    <w:rsid w:val="00295250"/>
    <w:rsid w:val="002956FD"/>
    <w:rsid w:val="00296B47"/>
    <w:rsid w:val="00296F56"/>
    <w:rsid w:val="002A0AFC"/>
    <w:rsid w:val="002A1386"/>
    <w:rsid w:val="002A3BEA"/>
    <w:rsid w:val="002A58EF"/>
    <w:rsid w:val="002A6A39"/>
    <w:rsid w:val="002B20A0"/>
    <w:rsid w:val="002B45CB"/>
    <w:rsid w:val="002C47F3"/>
    <w:rsid w:val="002C7124"/>
    <w:rsid w:val="002D096D"/>
    <w:rsid w:val="002D37AB"/>
    <w:rsid w:val="002E0479"/>
    <w:rsid w:val="002E0ACA"/>
    <w:rsid w:val="002E30AB"/>
    <w:rsid w:val="002E32AD"/>
    <w:rsid w:val="002E7C4F"/>
    <w:rsid w:val="0030227F"/>
    <w:rsid w:val="0030732D"/>
    <w:rsid w:val="00311272"/>
    <w:rsid w:val="00314B25"/>
    <w:rsid w:val="0032111F"/>
    <w:rsid w:val="003239D9"/>
    <w:rsid w:val="00325D2F"/>
    <w:rsid w:val="003343DA"/>
    <w:rsid w:val="0034222F"/>
    <w:rsid w:val="00342D32"/>
    <w:rsid w:val="00343A0F"/>
    <w:rsid w:val="00346257"/>
    <w:rsid w:val="0035356E"/>
    <w:rsid w:val="0035410B"/>
    <w:rsid w:val="00361648"/>
    <w:rsid w:val="00371736"/>
    <w:rsid w:val="00372319"/>
    <w:rsid w:val="00375ECC"/>
    <w:rsid w:val="00382816"/>
    <w:rsid w:val="00384A46"/>
    <w:rsid w:val="00384B7A"/>
    <w:rsid w:val="00385A96"/>
    <w:rsid w:val="00392EA7"/>
    <w:rsid w:val="00393C22"/>
    <w:rsid w:val="00394DE5"/>
    <w:rsid w:val="0039695E"/>
    <w:rsid w:val="003A3008"/>
    <w:rsid w:val="003A596B"/>
    <w:rsid w:val="003A66E9"/>
    <w:rsid w:val="003A7555"/>
    <w:rsid w:val="003B4A52"/>
    <w:rsid w:val="003B58A3"/>
    <w:rsid w:val="003B67C7"/>
    <w:rsid w:val="003C02BF"/>
    <w:rsid w:val="003C2D87"/>
    <w:rsid w:val="003C532C"/>
    <w:rsid w:val="003C61EC"/>
    <w:rsid w:val="003C71DB"/>
    <w:rsid w:val="003D12FD"/>
    <w:rsid w:val="003F0FF6"/>
    <w:rsid w:val="003F1747"/>
    <w:rsid w:val="003F1E90"/>
    <w:rsid w:val="003F6DA4"/>
    <w:rsid w:val="00402338"/>
    <w:rsid w:val="00403B7B"/>
    <w:rsid w:val="00404D6B"/>
    <w:rsid w:val="0040535A"/>
    <w:rsid w:val="00406477"/>
    <w:rsid w:val="004066F8"/>
    <w:rsid w:val="004117F3"/>
    <w:rsid w:val="00413FA6"/>
    <w:rsid w:val="004150CF"/>
    <w:rsid w:val="00420548"/>
    <w:rsid w:val="00420EC2"/>
    <w:rsid w:val="00422BDA"/>
    <w:rsid w:val="00422FB6"/>
    <w:rsid w:val="00423DA8"/>
    <w:rsid w:val="0042531A"/>
    <w:rsid w:val="00430165"/>
    <w:rsid w:val="00433BDF"/>
    <w:rsid w:val="00435E04"/>
    <w:rsid w:val="00442336"/>
    <w:rsid w:val="0044496A"/>
    <w:rsid w:val="004509F9"/>
    <w:rsid w:val="00453833"/>
    <w:rsid w:val="00453C7A"/>
    <w:rsid w:val="00454142"/>
    <w:rsid w:val="00454958"/>
    <w:rsid w:val="00456249"/>
    <w:rsid w:val="004627C6"/>
    <w:rsid w:val="0046414E"/>
    <w:rsid w:val="004666B5"/>
    <w:rsid w:val="0047004F"/>
    <w:rsid w:val="00470ABD"/>
    <w:rsid w:val="00472D29"/>
    <w:rsid w:val="00485A69"/>
    <w:rsid w:val="00493706"/>
    <w:rsid w:val="00494C48"/>
    <w:rsid w:val="00494EB4"/>
    <w:rsid w:val="00495FD2"/>
    <w:rsid w:val="004A5333"/>
    <w:rsid w:val="004A6E90"/>
    <w:rsid w:val="004B096F"/>
    <w:rsid w:val="004B3FDE"/>
    <w:rsid w:val="004B410E"/>
    <w:rsid w:val="004B648C"/>
    <w:rsid w:val="004B6CB5"/>
    <w:rsid w:val="004B6F90"/>
    <w:rsid w:val="004B7DBB"/>
    <w:rsid w:val="004C06CC"/>
    <w:rsid w:val="004C1DB7"/>
    <w:rsid w:val="004C36B6"/>
    <w:rsid w:val="004C50C5"/>
    <w:rsid w:val="004C6201"/>
    <w:rsid w:val="004D0594"/>
    <w:rsid w:val="004D08D2"/>
    <w:rsid w:val="004D3EB5"/>
    <w:rsid w:val="004D508E"/>
    <w:rsid w:val="004E62B4"/>
    <w:rsid w:val="00504321"/>
    <w:rsid w:val="005045EB"/>
    <w:rsid w:val="00507115"/>
    <w:rsid w:val="005153A6"/>
    <w:rsid w:val="005225B5"/>
    <w:rsid w:val="005276B3"/>
    <w:rsid w:val="00540A95"/>
    <w:rsid w:val="00546FB0"/>
    <w:rsid w:val="00556ABE"/>
    <w:rsid w:val="00557B37"/>
    <w:rsid w:val="00567C08"/>
    <w:rsid w:val="00571BB9"/>
    <w:rsid w:val="00575FD4"/>
    <w:rsid w:val="00581B9B"/>
    <w:rsid w:val="005831E0"/>
    <w:rsid w:val="0058390E"/>
    <w:rsid w:val="0058402D"/>
    <w:rsid w:val="005846C0"/>
    <w:rsid w:val="00587188"/>
    <w:rsid w:val="0059522A"/>
    <w:rsid w:val="00597FCD"/>
    <w:rsid w:val="005A4F22"/>
    <w:rsid w:val="005A5C22"/>
    <w:rsid w:val="005A6E7F"/>
    <w:rsid w:val="005A7D5C"/>
    <w:rsid w:val="005B0D4A"/>
    <w:rsid w:val="005B3AD3"/>
    <w:rsid w:val="005C3B64"/>
    <w:rsid w:val="005D06D7"/>
    <w:rsid w:val="005D1C07"/>
    <w:rsid w:val="005D5FC8"/>
    <w:rsid w:val="005D6712"/>
    <w:rsid w:val="005D7120"/>
    <w:rsid w:val="005E1823"/>
    <w:rsid w:val="005E2567"/>
    <w:rsid w:val="005E3FEA"/>
    <w:rsid w:val="005F0EEB"/>
    <w:rsid w:val="005F12C2"/>
    <w:rsid w:val="005F1963"/>
    <w:rsid w:val="005F6590"/>
    <w:rsid w:val="005F6F69"/>
    <w:rsid w:val="005F7C0E"/>
    <w:rsid w:val="00600CCE"/>
    <w:rsid w:val="0060107F"/>
    <w:rsid w:val="00601210"/>
    <w:rsid w:val="006012AE"/>
    <w:rsid w:val="006023A1"/>
    <w:rsid w:val="0062047E"/>
    <w:rsid w:val="00624F24"/>
    <w:rsid w:val="00631330"/>
    <w:rsid w:val="00634B31"/>
    <w:rsid w:val="00641C20"/>
    <w:rsid w:val="00641FFA"/>
    <w:rsid w:val="00644411"/>
    <w:rsid w:val="00645E4B"/>
    <w:rsid w:val="006506ED"/>
    <w:rsid w:val="006555E5"/>
    <w:rsid w:val="00656BBB"/>
    <w:rsid w:val="00662C2B"/>
    <w:rsid w:val="0066781B"/>
    <w:rsid w:val="00672A52"/>
    <w:rsid w:val="006745E3"/>
    <w:rsid w:val="006769C7"/>
    <w:rsid w:val="006832D2"/>
    <w:rsid w:val="00683EEE"/>
    <w:rsid w:val="00685874"/>
    <w:rsid w:val="006872AD"/>
    <w:rsid w:val="0069000E"/>
    <w:rsid w:val="00690A3E"/>
    <w:rsid w:val="00690DB0"/>
    <w:rsid w:val="00690FCC"/>
    <w:rsid w:val="00691CD7"/>
    <w:rsid w:val="006A3983"/>
    <w:rsid w:val="006A4E0C"/>
    <w:rsid w:val="006A610A"/>
    <w:rsid w:val="006B40FE"/>
    <w:rsid w:val="006B5856"/>
    <w:rsid w:val="006B7E4B"/>
    <w:rsid w:val="006C116B"/>
    <w:rsid w:val="006C2889"/>
    <w:rsid w:val="006C3181"/>
    <w:rsid w:val="006C461E"/>
    <w:rsid w:val="006C4CFF"/>
    <w:rsid w:val="006D44AA"/>
    <w:rsid w:val="006D4D08"/>
    <w:rsid w:val="006D7FC1"/>
    <w:rsid w:val="006E01C4"/>
    <w:rsid w:val="006E6FB2"/>
    <w:rsid w:val="006F0B22"/>
    <w:rsid w:val="006F1762"/>
    <w:rsid w:val="006F3084"/>
    <w:rsid w:val="006F3F92"/>
    <w:rsid w:val="006F51B9"/>
    <w:rsid w:val="006F5B7D"/>
    <w:rsid w:val="006F6E7A"/>
    <w:rsid w:val="00701B26"/>
    <w:rsid w:val="00704E5C"/>
    <w:rsid w:val="00715B6E"/>
    <w:rsid w:val="007210E7"/>
    <w:rsid w:val="0072116C"/>
    <w:rsid w:val="00721DE2"/>
    <w:rsid w:val="00724521"/>
    <w:rsid w:val="00731C26"/>
    <w:rsid w:val="00734E66"/>
    <w:rsid w:val="0074375A"/>
    <w:rsid w:val="007471E9"/>
    <w:rsid w:val="00753BB6"/>
    <w:rsid w:val="00757FDB"/>
    <w:rsid w:val="0077518E"/>
    <w:rsid w:val="00786E77"/>
    <w:rsid w:val="00787F37"/>
    <w:rsid w:val="00790B92"/>
    <w:rsid w:val="00790BE9"/>
    <w:rsid w:val="00790FA9"/>
    <w:rsid w:val="00793C9C"/>
    <w:rsid w:val="007977AB"/>
    <w:rsid w:val="007A0204"/>
    <w:rsid w:val="007A1796"/>
    <w:rsid w:val="007A3DBB"/>
    <w:rsid w:val="007A4E84"/>
    <w:rsid w:val="007A6194"/>
    <w:rsid w:val="007A7234"/>
    <w:rsid w:val="007A77BB"/>
    <w:rsid w:val="007A7F3B"/>
    <w:rsid w:val="007B6EA8"/>
    <w:rsid w:val="007B7204"/>
    <w:rsid w:val="007D14F8"/>
    <w:rsid w:val="007E3A70"/>
    <w:rsid w:val="007F0904"/>
    <w:rsid w:val="007F2C86"/>
    <w:rsid w:val="007F3681"/>
    <w:rsid w:val="007F44E6"/>
    <w:rsid w:val="00801B41"/>
    <w:rsid w:val="008023FA"/>
    <w:rsid w:val="00803CF4"/>
    <w:rsid w:val="008078E3"/>
    <w:rsid w:val="008101CC"/>
    <w:rsid w:val="00811CF2"/>
    <w:rsid w:val="00820442"/>
    <w:rsid w:val="00821853"/>
    <w:rsid w:val="00827A4A"/>
    <w:rsid w:val="00840121"/>
    <w:rsid w:val="00843535"/>
    <w:rsid w:val="0084747D"/>
    <w:rsid w:val="00851F14"/>
    <w:rsid w:val="00854201"/>
    <w:rsid w:val="00854E97"/>
    <w:rsid w:val="0085562C"/>
    <w:rsid w:val="008568FD"/>
    <w:rsid w:val="00857255"/>
    <w:rsid w:val="00860A4E"/>
    <w:rsid w:val="00861DF5"/>
    <w:rsid w:val="00864493"/>
    <w:rsid w:val="008668A7"/>
    <w:rsid w:val="00867274"/>
    <w:rsid w:val="00880BEF"/>
    <w:rsid w:val="00880CDE"/>
    <w:rsid w:val="008823C4"/>
    <w:rsid w:val="00882CD7"/>
    <w:rsid w:val="00883103"/>
    <w:rsid w:val="0088395B"/>
    <w:rsid w:val="00884830"/>
    <w:rsid w:val="00884C36"/>
    <w:rsid w:val="00884F73"/>
    <w:rsid w:val="00887687"/>
    <w:rsid w:val="00895209"/>
    <w:rsid w:val="00895324"/>
    <w:rsid w:val="008954D4"/>
    <w:rsid w:val="0089656E"/>
    <w:rsid w:val="00896816"/>
    <w:rsid w:val="008A154B"/>
    <w:rsid w:val="008B2158"/>
    <w:rsid w:val="008C0875"/>
    <w:rsid w:val="008C1E83"/>
    <w:rsid w:val="008C26F9"/>
    <w:rsid w:val="008C2F01"/>
    <w:rsid w:val="008C6765"/>
    <w:rsid w:val="008C67CC"/>
    <w:rsid w:val="008D4E55"/>
    <w:rsid w:val="008D60AB"/>
    <w:rsid w:val="008E056D"/>
    <w:rsid w:val="008E1DF9"/>
    <w:rsid w:val="008E2DFA"/>
    <w:rsid w:val="008F077F"/>
    <w:rsid w:val="008F52D8"/>
    <w:rsid w:val="008F6B63"/>
    <w:rsid w:val="00904DF3"/>
    <w:rsid w:val="00905242"/>
    <w:rsid w:val="00911E6C"/>
    <w:rsid w:val="0091459A"/>
    <w:rsid w:val="00916B03"/>
    <w:rsid w:val="00920134"/>
    <w:rsid w:val="0092026D"/>
    <w:rsid w:val="00920275"/>
    <w:rsid w:val="009229BF"/>
    <w:rsid w:val="00922BCE"/>
    <w:rsid w:val="009260DD"/>
    <w:rsid w:val="009268AB"/>
    <w:rsid w:val="00926A0F"/>
    <w:rsid w:val="00930E9F"/>
    <w:rsid w:val="009365BF"/>
    <w:rsid w:val="00936B85"/>
    <w:rsid w:val="009379E0"/>
    <w:rsid w:val="0094015C"/>
    <w:rsid w:val="009423F6"/>
    <w:rsid w:val="00943C38"/>
    <w:rsid w:val="00951540"/>
    <w:rsid w:val="00955B4B"/>
    <w:rsid w:val="00960EB0"/>
    <w:rsid w:val="00964783"/>
    <w:rsid w:val="00975F2F"/>
    <w:rsid w:val="00984328"/>
    <w:rsid w:val="0098487E"/>
    <w:rsid w:val="009861C8"/>
    <w:rsid w:val="0099165D"/>
    <w:rsid w:val="009918AD"/>
    <w:rsid w:val="00993484"/>
    <w:rsid w:val="00993E18"/>
    <w:rsid w:val="00994872"/>
    <w:rsid w:val="009961A9"/>
    <w:rsid w:val="009A1ACA"/>
    <w:rsid w:val="009A4B35"/>
    <w:rsid w:val="009A4E70"/>
    <w:rsid w:val="009B344F"/>
    <w:rsid w:val="009C57E0"/>
    <w:rsid w:val="009D0313"/>
    <w:rsid w:val="009D5499"/>
    <w:rsid w:val="009D5835"/>
    <w:rsid w:val="009F073A"/>
    <w:rsid w:val="009F28C4"/>
    <w:rsid w:val="009F2EF2"/>
    <w:rsid w:val="009F2EF6"/>
    <w:rsid w:val="009F465C"/>
    <w:rsid w:val="009F4790"/>
    <w:rsid w:val="009F6D35"/>
    <w:rsid w:val="00A06892"/>
    <w:rsid w:val="00A071EA"/>
    <w:rsid w:val="00A07C1E"/>
    <w:rsid w:val="00A11815"/>
    <w:rsid w:val="00A13CAA"/>
    <w:rsid w:val="00A1746F"/>
    <w:rsid w:val="00A179B9"/>
    <w:rsid w:val="00A244DD"/>
    <w:rsid w:val="00A31128"/>
    <w:rsid w:val="00A312E3"/>
    <w:rsid w:val="00A328DE"/>
    <w:rsid w:val="00A34C83"/>
    <w:rsid w:val="00A36CBB"/>
    <w:rsid w:val="00A40479"/>
    <w:rsid w:val="00A410A8"/>
    <w:rsid w:val="00A4263C"/>
    <w:rsid w:val="00A42F3F"/>
    <w:rsid w:val="00A52257"/>
    <w:rsid w:val="00A52E7B"/>
    <w:rsid w:val="00A53484"/>
    <w:rsid w:val="00A5430A"/>
    <w:rsid w:val="00A55D62"/>
    <w:rsid w:val="00A56AD8"/>
    <w:rsid w:val="00A6165A"/>
    <w:rsid w:val="00A64389"/>
    <w:rsid w:val="00A722F0"/>
    <w:rsid w:val="00A72B5B"/>
    <w:rsid w:val="00A72E40"/>
    <w:rsid w:val="00A77812"/>
    <w:rsid w:val="00A80B20"/>
    <w:rsid w:val="00A81709"/>
    <w:rsid w:val="00A82948"/>
    <w:rsid w:val="00A82A80"/>
    <w:rsid w:val="00A837CA"/>
    <w:rsid w:val="00A83C44"/>
    <w:rsid w:val="00AA1B33"/>
    <w:rsid w:val="00AA4F9C"/>
    <w:rsid w:val="00AC1AB2"/>
    <w:rsid w:val="00AC1DE1"/>
    <w:rsid w:val="00AC5CEF"/>
    <w:rsid w:val="00AC656B"/>
    <w:rsid w:val="00AD0A89"/>
    <w:rsid w:val="00AE1807"/>
    <w:rsid w:val="00AE50A8"/>
    <w:rsid w:val="00AE62C1"/>
    <w:rsid w:val="00AF029F"/>
    <w:rsid w:val="00AF1AD4"/>
    <w:rsid w:val="00AF2EC5"/>
    <w:rsid w:val="00AF6956"/>
    <w:rsid w:val="00B00CE7"/>
    <w:rsid w:val="00B0653C"/>
    <w:rsid w:val="00B13C2B"/>
    <w:rsid w:val="00B161E3"/>
    <w:rsid w:val="00B1675C"/>
    <w:rsid w:val="00B1768A"/>
    <w:rsid w:val="00B201A0"/>
    <w:rsid w:val="00B2236D"/>
    <w:rsid w:val="00B24397"/>
    <w:rsid w:val="00B243D7"/>
    <w:rsid w:val="00B26C5F"/>
    <w:rsid w:val="00B336AB"/>
    <w:rsid w:val="00B35168"/>
    <w:rsid w:val="00B357F2"/>
    <w:rsid w:val="00B40A63"/>
    <w:rsid w:val="00B41341"/>
    <w:rsid w:val="00B51F32"/>
    <w:rsid w:val="00B62765"/>
    <w:rsid w:val="00B6383C"/>
    <w:rsid w:val="00B67879"/>
    <w:rsid w:val="00B754F1"/>
    <w:rsid w:val="00B80E72"/>
    <w:rsid w:val="00B87AE9"/>
    <w:rsid w:val="00B87EF7"/>
    <w:rsid w:val="00B91781"/>
    <w:rsid w:val="00BA00BF"/>
    <w:rsid w:val="00BA5757"/>
    <w:rsid w:val="00BB0618"/>
    <w:rsid w:val="00BB0B1C"/>
    <w:rsid w:val="00BB0D61"/>
    <w:rsid w:val="00BB338D"/>
    <w:rsid w:val="00BC3653"/>
    <w:rsid w:val="00BC5C06"/>
    <w:rsid w:val="00BD5B0B"/>
    <w:rsid w:val="00BD6781"/>
    <w:rsid w:val="00BE004C"/>
    <w:rsid w:val="00BE0D58"/>
    <w:rsid w:val="00BE2C7D"/>
    <w:rsid w:val="00BE34DB"/>
    <w:rsid w:val="00BE4E91"/>
    <w:rsid w:val="00BE593E"/>
    <w:rsid w:val="00BE6483"/>
    <w:rsid w:val="00BE6CDE"/>
    <w:rsid w:val="00BE7C11"/>
    <w:rsid w:val="00BF453B"/>
    <w:rsid w:val="00BF79ED"/>
    <w:rsid w:val="00C07984"/>
    <w:rsid w:val="00C12D17"/>
    <w:rsid w:val="00C227FE"/>
    <w:rsid w:val="00C247E0"/>
    <w:rsid w:val="00C27BA3"/>
    <w:rsid w:val="00C345D7"/>
    <w:rsid w:val="00C35726"/>
    <w:rsid w:val="00C36051"/>
    <w:rsid w:val="00C406CA"/>
    <w:rsid w:val="00C41C40"/>
    <w:rsid w:val="00C42376"/>
    <w:rsid w:val="00C433C7"/>
    <w:rsid w:val="00C47502"/>
    <w:rsid w:val="00C519CF"/>
    <w:rsid w:val="00C521F7"/>
    <w:rsid w:val="00C5334B"/>
    <w:rsid w:val="00C55A85"/>
    <w:rsid w:val="00C56CE8"/>
    <w:rsid w:val="00C57288"/>
    <w:rsid w:val="00C627AB"/>
    <w:rsid w:val="00C63BD7"/>
    <w:rsid w:val="00C7097F"/>
    <w:rsid w:val="00C72D89"/>
    <w:rsid w:val="00C77BA7"/>
    <w:rsid w:val="00C846C9"/>
    <w:rsid w:val="00C86C99"/>
    <w:rsid w:val="00C90039"/>
    <w:rsid w:val="00C95251"/>
    <w:rsid w:val="00C96C81"/>
    <w:rsid w:val="00CA108A"/>
    <w:rsid w:val="00CB1F51"/>
    <w:rsid w:val="00CB4B27"/>
    <w:rsid w:val="00CB64BE"/>
    <w:rsid w:val="00CB6C17"/>
    <w:rsid w:val="00CC368B"/>
    <w:rsid w:val="00CC44BA"/>
    <w:rsid w:val="00CC46D3"/>
    <w:rsid w:val="00CC6CE8"/>
    <w:rsid w:val="00CD5552"/>
    <w:rsid w:val="00CD73A7"/>
    <w:rsid w:val="00CD7BC6"/>
    <w:rsid w:val="00CE078D"/>
    <w:rsid w:val="00CF3DB2"/>
    <w:rsid w:val="00CF56B1"/>
    <w:rsid w:val="00CF57BD"/>
    <w:rsid w:val="00CF59A1"/>
    <w:rsid w:val="00CF729E"/>
    <w:rsid w:val="00D004AA"/>
    <w:rsid w:val="00D0208E"/>
    <w:rsid w:val="00D035E7"/>
    <w:rsid w:val="00D0384C"/>
    <w:rsid w:val="00D04C91"/>
    <w:rsid w:val="00D06DCC"/>
    <w:rsid w:val="00D126E6"/>
    <w:rsid w:val="00D14869"/>
    <w:rsid w:val="00D14EAC"/>
    <w:rsid w:val="00D17FE0"/>
    <w:rsid w:val="00D24C68"/>
    <w:rsid w:val="00D26EE2"/>
    <w:rsid w:val="00D337E5"/>
    <w:rsid w:val="00D343F6"/>
    <w:rsid w:val="00D40873"/>
    <w:rsid w:val="00D5105B"/>
    <w:rsid w:val="00D54EB9"/>
    <w:rsid w:val="00D555FE"/>
    <w:rsid w:val="00D55DBF"/>
    <w:rsid w:val="00D60786"/>
    <w:rsid w:val="00D629FD"/>
    <w:rsid w:val="00D62DA2"/>
    <w:rsid w:val="00D67D50"/>
    <w:rsid w:val="00D718A5"/>
    <w:rsid w:val="00D719BC"/>
    <w:rsid w:val="00D76658"/>
    <w:rsid w:val="00D8264F"/>
    <w:rsid w:val="00D8305D"/>
    <w:rsid w:val="00D90EB2"/>
    <w:rsid w:val="00D926C7"/>
    <w:rsid w:val="00D96A3A"/>
    <w:rsid w:val="00D96DF3"/>
    <w:rsid w:val="00D97BE0"/>
    <w:rsid w:val="00DA463D"/>
    <w:rsid w:val="00DA5A11"/>
    <w:rsid w:val="00DA5BF5"/>
    <w:rsid w:val="00DB1612"/>
    <w:rsid w:val="00DB1D3B"/>
    <w:rsid w:val="00DB5F03"/>
    <w:rsid w:val="00DC503B"/>
    <w:rsid w:val="00DC61AD"/>
    <w:rsid w:val="00DC7297"/>
    <w:rsid w:val="00DC7C96"/>
    <w:rsid w:val="00DE2039"/>
    <w:rsid w:val="00DE4AA4"/>
    <w:rsid w:val="00DF7CDA"/>
    <w:rsid w:val="00E01170"/>
    <w:rsid w:val="00E021D0"/>
    <w:rsid w:val="00E03713"/>
    <w:rsid w:val="00E038D0"/>
    <w:rsid w:val="00E03CBC"/>
    <w:rsid w:val="00E04A2D"/>
    <w:rsid w:val="00E05C6B"/>
    <w:rsid w:val="00E0787E"/>
    <w:rsid w:val="00E10612"/>
    <w:rsid w:val="00E13132"/>
    <w:rsid w:val="00E20FC2"/>
    <w:rsid w:val="00E2295E"/>
    <w:rsid w:val="00E2527C"/>
    <w:rsid w:val="00E25664"/>
    <w:rsid w:val="00E469AA"/>
    <w:rsid w:val="00E520BE"/>
    <w:rsid w:val="00E5269D"/>
    <w:rsid w:val="00E63546"/>
    <w:rsid w:val="00E63946"/>
    <w:rsid w:val="00E72CCB"/>
    <w:rsid w:val="00E72F3D"/>
    <w:rsid w:val="00E80065"/>
    <w:rsid w:val="00E81D91"/>
    <w:rsid w:val="00E8572F"/>
    <w:rsid w:val="00E87AFD"/>
    <w:rsid w:val="00E90615"/>
    <w:rsid w:val="00E94AE9"/>
    <w:rsid w:val="00E95ABD"/>
    <w:rsid w:val="00EA08BE"/>
    <w:rsid w:val="00EA0A4F"/>
    <w:rsid w:val="00EA7E2C"/>
    <w:rsid w:val="00EB083C"/>
    <w:rsid w:val="00EB307B"/>
    <w:rsid w:val="00EB3A08"/>
    <w:rsid w:val="00ED55F5"/>
    <w:rsid w:val="00EE01BA"/>
    <w:rsid w:val="00EE1E94"/>
    <w:rsid w:val="00EE3726"/>
    <w:rsid w:val="00EE38FB"/>
    <w:rsid w:val="00EF0802"/>
    <w:rsid w:val="00EF574F"/>
    <w:rsid w:val="00EF67A4"/>
    <w:rsid w:val="00F12EA5"/>
    <w:rsid w:val="00F2080A"/>
    <w:rsid w:val="00F25FBD"/>
    <w:rsid w:val="00F26ED7"/>
    <w:rsid w:val="00F30FBB"/>
    <w:rsid w:val="00F34B1D"/>
    <w:rsid w:val="00F351B3"/>
    <w:rsid w:val="00F40E2C"/>
    <w:rsid w:val="00F45077"/>
    <w:rsid w:val="00F51330"/>
    <w:rsid w:val="00F51446"/>
    <w:rsid w:val="00F51C25"/>
    <w:rsid w:val="00F5239B"/>
    <w:rsid w:val="00F53907"/>
    <w:rsid w:val="00F55B5F"/>
    <w:rsid w:val="00F60481"/>
    <w:rsid w:val="00F617A9"/>
    <w:rsid w:val="00F631BD"/>
    <w:rsid w:val="00F63E5A"/>
    <w:rsid w:val="00F6544B"/>
    <w:rsid w:val="00F65A5D"/>
    <w:rsid w:val="00F67DF1"/>
    <w:rsid w:val="00F7144F"/>
    <w:rsid w:val="00F733EA"/>
    <w:rsid w:val="00F7798D"/>
    <w:rsid w:val="00F77E30"/>
    <w:rsid w:val="00F80F43"/>
    <w:rsid w:val="00F81371"/>
    <w:rsid w:val="00F82B82"/>
    <w:rsid w:val="00F839EF"/>
    <w:rsid w:val="00F83E49"/>
    <w:rsid w:val="00F8641F"/>
    <w:rsid w:val="00F92F0E"/>
    <w:rsid w:val="00F95CA7"/>
    <w:rsid w:val="00FA039F"/>
    <w:rsid w:val="00FA14AE"/>
    <w:rsid w:val="00FA3A68"/>
    <w:rsid w:val="00FA6315"/>
    <w:rsid w:val="00FA69C0"/>
    <w:rsid w:val="00FA7C91"/>
    <w:rsid w:val="00FC16ED"/>
    <w:rsid w:val="00FC2A75"/>
    <w:rsid w:val="00FC6EB7"/>
    <w:rsid w:val="00FD6A65"/>
    <w:rsid w:val="00FE0D0B"/>
    <w:rsid w:val="00FE108F"/>
    <w:rsid w:val="00FE18F5"/>
    <w:rsid w:val="00FE2DE2"/>
    <w:rsid w:val="00FE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7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E2C"/>
  </w:style>
  <w:style w:type="paragraph" w:styleId="Zhlav">
    <w:name w:val="header"/>
    <w:basedOn w:val="Normln"/>
    <w:link w:val="ZhlavChar"/>
    <w:uiPriority w:val="99"/>
    <w:rsid w:val="00EA7E2C"/>
    <w:pPr>
      <w:tabs>
        <w:tab w:val="center" w:pos="4536"/>
        <w:tab w:val="right" w:pos="9072"/>
      </w:tabs>
      <w:spacing w:after="0" w:line="300" w:lineRule="exact"/>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EA7E2C"/>
    <w:rPr>
      <w:rFonts w:ascii="Arial" w:eastAsia="Times New Roman" w:hAnsi="Arial" w:cs="Times New Roman"/>
      <w:color w:val="000000"/>
      <w:szCs w:val="24"/>
      <w:lang w:eastAsia="cs-CZ"/>
    </w:rPr>
  </w:style>
  <w:style w:type="paragraph" w:styleId="Textpoznpodarou">
    <w:name w:val="footnote text"/>
    <w:basedOn w:val="Normln"/>
    <w:link w:val="TextpoznpodarouChar"/>
    <w:rsid w:val="00EA7E2C"/>
    <w:pPr>
      <w:spacing w:after="0" w:line="300" w:lineRule="exact"/>
      <w:jc w:val="both"/>
    </w:pPr>
    <w:rPr>
      <w:rFonts w:ascii="Arial" w:eastAsia="Times New Roman" w:hAnsi="Arial" w:cs="Times New Roman"/>
      <w:color w:val="000000"/>
      <w:sz w:val="20"/>
      <w:szCs w:val="20"/>
      <w:lang w:eastAsia="cs-CZ"/>
    </w:rPr>
  </w:style>
  <w:style w:type="character" w:customStyle="1" w:styleId="TextpoznpodarouChar">
    <w:name w:val="Text pozn. pod čarou Char"/>
    <w:basedOn w:val="Standardnpsmoodstavce"/>
    <w:link w:val="Textpoznpodarou"/>
    <w:rsid w:val="00EA7E2C"/>
    <w:rPr>
      <w:rFonts w:ascii="Arial" w:eastAsia="Times New Roman" w:hAnsi="Arial" w:cs="Times New Roman"/>
      <w:color w:val="000000"/>
      <w:sz w:val="20"/>
      <w:szCs w:val="20"/>
      <w:lang w:eastAsia="cs-CZ"/>
    </w:rPr>
  </w:style>
  <w:style w:type="character" w:styleId="Znakapoznpodarou">
    <w:name w:val="footnote reference"/>
    <w:rsid w:val="00EA7E2C"/>
    <w:rPr>
      <w:vertAlign w:val="superscript"/>
    </w:rPr>
  </w:style>
  <w:style w:type="paragraph" w:styleId="Odstavecseseznamem">
    <w:name w:val="List Paragraph"/>
    <w:basedOn w:val="Normln"/>
    <w:uiPriority w:val="34"/>
    <w:qFormat/>
    <w:rsid w:val="00EA7E2C"/>
    <w:pPr>
      <w:ind w:left="720"/>
      <w:contextualSpacing/>
    </w:pPr>
  </w:style>
  <w:style w:type="paragraph" w:styleId="Zkladntextodsazen">
    <w:name w:val="Body Text Indent"/>
    <w:basedOn w:val="Normln"/>
    <w:link w:val="ZkladntextodsazenChar"/>
    <w:rsid w:val="00BA00BF"/>
    <w:pPr>
      <w:spacing w:before="120" w:after="0" w:line="360" w:lineRule="auto"/>
      <w:ind w:firstLine="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BA00BF"/>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1868FA"/>
    <w:rPr>
      <w:sz w:val="16"/>
      <w:szCs w:val="16"/>
    </w:rPr>
  </w:style>
  <w:style w:type="paragraph" w:styleId="Textkomente">
    <w:name w:val="annotation text"/>
    <w:basedOn w:val="Normln"/>
    <w:link w:val="TextkomenteChar"/>
    <w:uiPriority w:val="99"/>
    <w:semiHidden/>
    <w:unhideWhenUsed/>
    <w:rsid w:val="001868FA"/>
    <w:pPr>
      <w:spacing w:line="240" w:lineRule="auto"/>
    </w:pPr>
    <w:rPr>
      <w:sz w:val="20"/>
      <w:szCs w:val="20"/>
    </w:rPr>
  </w:style>
  <w:style w:type="character" w:customStyle="1" w:styleId="TextkomenteChar">
    <w:name w:val="Text komentáře Char"/>
    <w:basedOn w:val="Standardnpsmoodstavce"/>
    <w:link w:val="Textkomente"/>
    <w:uiPriority w:val="99"/>
    <w:semiHidden/>
    <w:rsid w:val="001868FA"/>
    <w:rPr>
      <w:sz w:val="20"/>
      <w:szCs w:val="20"/>
    </w:rPr>
  </w:style>
  <w:style w:type="paragraph" w:styleId="Pedmtkomente">
    <w:name w:val="annotation subject"/>
    <w:basedOn w:val="Textkomente"/>
    <w:next w:val="Textkomente"/>
    <w:link w:val="PedmtkomenteChar"/>
    <w:uiPriority w:val="99"/>
    <w:semiHidden/>
    <w:unhideWhenUsed/>
    <w:rsid w:val="001868FA"/>
    <w:rPr>
      <w:b/>
      <w:bCs/>
    </w:rPr>
  </w:style>
  <w:style w:type="character" w:customStyle="1" w:styleId="PedmtkomenteChar">
    <w:name w:val="Předmět komentáře Char"/>
    <w:basedOn w:val="TextkomenteChar"/>
    <w:link w:val="Pedmtkomente"/>
    <w:uiPriority w:val="99"/>
    <w:semiHidden/>
    <w:rsid w:val="001868FA"/>
    <w:rPr>
      <w:b/>
      <w:bCs/>
      <w:sz w:val="20"/>
      <w:szCs w:val="20"/>
    </w:rPr>
  </w:style>
  <w:style w:type="paragraph" w:styleId="Textbubliny">
    <w:name w:val="Balloon Text"/>
    <w:basedOn w:val="Normln"/>
    <w:link w:val="TextbublinyChar"/>
    <w:uiPriority w:val="99"/>
    <w:semiHidden/>
    <w:unhideWhenUsed/>
    <w:rsid w:val="00186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FA"/>
    <w:rPr>
      <w:rFonts w:ascii="Tahoma" w:hAnsi="Tahoma" w:cs="Tahoma"/>
      <w:sz w:val="16"/>
      <w:szCs w:val="16"/>
    </w:rPr>
  </w:style>
  <w:style w:type="paragraph" w:customStyle="1" w:styleId="Tabulkatext">
    <w:name w:val="Tabulka text"/>
    <w:link w:val="TabulkatextChar"/>
    <w:uiPriority w:val="6"/>
    <w:qFormat/>
    <w:rsid w:val="009A1AC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A1ACA"/>
    <w:rPr>
      <w:color w:val="080808"/>
      <w:sz w:val="20"/>
    </w:rPr>
  </w:style>
  <w:style w:type="paragraph" w:customStyle="1" w:styleId="Nvod">
    <w:name w:val="Návod"/>
    <w:basedOn w:val="Normln"/>
    <w:rsid w:val="00101302"/>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lang w:eastAsia="cs-CZ"/>
    </w:rPr>
  </w:style>
  <w:style w:type="paragraph" w:customStyle="1" w:styleId="slovn">
    <w:name w:val="číslování"/>
    <w:basedOn w:val="Normln"/>
    <w:rsid w:val="00101302"/>
    <w:pPr>
      <w:numPr>
        <w:numId w:val="18"/>
      </w:numPr>
      <w:spacing w:after="0" w:line="240" w:lineRule="auto"/>
      <w:jc w:val="center"/>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DF7CDA"/>
    <w:pPr>
      <w:spacing w:after="120"/>
    </w:pPr>
  </w:style>
  <w:style w:type="character" w:customStyle="1" w:styleId="ZkladntextChar">
    <w:name w:val="Základní text Char"/>
    <w:basedOn w:val="Standardnpsmoodstavce"/>
    <w:link w:val="Zkladntext"/>
    <w:uiPriority w:val="99"/>
    <w:semiHidden/>
    <w:rsid w:val="00DF7CDA"/>
  </w:style>
  <w:style w:type="numbering" w:customStyle="1" w:styleId="Bezseznamu1">
    <w:name w:val="Bez seznamu1"/>
    <w:next w:val="Bezseznamu"/>
    <w:uiPriority w:val="99"/>
    <w:semiHidden/>
    <w:unhideWhenUsed/>
    <w:rsid w:val="00DF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7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E2C"/>
  </w:style>
  <w:style w:type="paragraph" w:styleId="Zhlav">
    <w:name w:val="header"/>
    <w:basedOn w:val="Normln"/>
    <w:link w:val="ZhlavChar"/>
    <w:uiPriority w:val="99"/>
    <w:rsid w:val="00EA7E2C"/>
    <w:pPr>
      <w:tabs>
        <w:tab w:val="center" w:pos="4536"/>
        <w:tab w:val="right" w:pos="9072"/>
      </w:tabs>
      <w:spacing w:after="0" w:line="300" w:lineRule="exact"/>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EA7E2C"/>
    <w:rPr>
      <w:rFonts w:ascii="Arial" w:eastAsia="Times New Roman" w:hAnsi="Arial" w:cs="Times New Roman"/>
      <w:color w:val="000000"/>
      <w:szCs w:val="24"/>
      <w:lang w:eastAsia="cs-CZ"/>
    </w:rPr>
  </w:style>
  <w:style w:type="paragraph" w:styleId="Textpoznpodarou">
    <w:name w:val="footnote text"/>
    <w:basedOn w:val="Normln"/>
    <w:link w:val="TextpoznpodarouChar"/>
    <w:rsid w:val="00EA7E2C"/>
    <w:pPr>
      <w:spacing w:after="0" w:line="300" w:lineRule="exact"/>
      <w:jc w:val="both"/>
    </w:pPr>
    <w:rPr>
      <w:rFonts w:ascii="Arial" w:eastAsia="Times New Roman" w:hAnsi="Arial" w:cs="Times New Roman"/>
      <w:color w:val="000000"/>
      <w:sz w:val="20"/>
      <w:szCs w:val="20"/>
      <w:lang w:eastAsia="cs-CZ"/>
    </w:rPr>
  </w:style>
  <w:style w:type="character" w:customStyle="1" w:styleId="TextpoznpodarouChar">
    <w:name w:val="Text pozn. pod čarou Char"/>
    <w:basedOn w:val="Standardnpsmoodstavce"/>
    <w:link w:val="Textpoznpodarou"/>
    <w:rsid w:val="00EA7E2C"/>
    <w:rPr>
      <w:rFonts w:ascii="Arial" w:eastAsia="Times New Roman" w:hAnsi="Arial" w:cs="Times New Roman"/>
      <w:color w:val="000000"/>
      <w:sz w:val="20"/>
      <w:szCs w:val="20"/>
      <w:lang w:eastAsia="cs-CZ"/>
    </w:rPr>
  </w:style>
  <w:style w:type="character" w:styleId="Znakapoznpodarou">
    <w:name w:val="footnote reference"/>
    <w:rsid w:val="00EA7E2C"/>
    <w:rPr>
      <w:vertAlign w:val="superscript"/>
    </w:rPr>
  </w:style>
  <w:style w:type="paragraph" w:styleId="Odstavecseseznamem">
    <w:name w:val="List Paragraph"/>
    <w:basedOn w:val="Normln"/>
    <w:uiPriority w:val="34"/>
    <w:qFormat/>
    <w:rsid w:val="00EA7E2C"/>
    <w:pPr>
      <w:ind w:left="720"/>
      <w:contextualSpacing/>
    </w:pPr>
  </w:style>
  <w:style w:type="paragraph" w:styleId="Zkladntextodsazen">
    <w:name w:val="Body Text Indent"/>
    <w:basedOn w:val="Normln"/>
    <w:link w:val="ZkladntextodsazenChar"/>
    <w:rsid w:val="00BA00BF"/>
    <w:pPr>
      <w:spacing w:before="120" w:after="0" w:line="360" w:lineRule="auto"/>
      <w:ind w:firstLine="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BA00BF"/>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1868FA"/>
    <w:rPr>
      <w:sz w:val="16"/>
      <w:szCs w:val="16"/>
    </w:rPr>
  </w:style>
  <w:style w:type="paragraph" w:styleId="Textkomente">
    <w:name w:val="annotation text"/>
    <w:basedOn w:val="Normln"/>
    <w:link w:val="TextkomenteChar"/>
    <w:uiPriority w:val="99"/>
    <w:semiHidden/>
    <w:unhideWhenUsed/>
    <w:rsid w:val="001868FA"/>
    <w:pPr>
      <w:spacing w:line="240" w:lineRule="auto"/>
    </w:pPr>
    <w:rPr>
      <w:sz w:val="20"/>
      <w:szCs w:val="20"/>
    </w:rPr>
  </w:style>
  <w:style w:type="character" w:customStyle="1" w:styleId="TextkomenteChar">
    <w:name w:val="Text komentáře Char"/>
    <w:basedOn w:val="Standardnpsmoodstavce"/>
    <w:link w:val="Textkomente"/>
    <w:uiPriority w:val="99"/>
    <w:semiHidden/>
    <w:rsid w:val="001868FA"/>
    <w:rPr>
      <w:sz w:val="20"/>
      <w:szCs w:val="20"/>
    </w:rPr>
  </w:style>
  <w:style w:type="paragraph" w:styleId="Pedmtkomente">
    <w:name w:val="annotation subject"/>
    <w:basedOn w:val="Textkomente"/>
    <w:next w:val="Textkomente"/>
    <w:link w:val="PedmtkomenteChar"/>
    <w:uiPriority w:val="99"/>
    <w:semiHidden/>
    <w:unhideWhenUsed/>
    <w:rsid w:val="001868FA"/>
    <w:rPr>
      <w:b/>
      <w:bCs/>
    </w:rPr>
  </w:style>
  <w:style w:type="character" w:customStyle="1" w:styleId="PedmtkomenteChar">
    <w:name w:val="Předmět komentáře Char"/>
    <w:basedOn w:val="TextkomenteChar"/>
    <w:link w:val="Pedmtkomente"/>
    <w:uiPriority w:val="99"/>
    <w:semiHidden/>
    <w:rsid w:val="001868FA"/>
    <w:rPr>
      <w:b/>
      <w:bCs/>
      <w:sz w:val="20"/>
      <w:szCs w:val="20"/>
    </w:rPr>
  </w:style>
  <w:style w:type="paragraph" w:styleId="Textbubliny">
    <w:name w:val="Balloon Text"/>
    <w:basedOn w:val="Normln"/>
    <w:link w:val="TextbublinyChar"/>
    <w:uiPriority w:val="99"/>
    <w:semiHidden/>
    <w:unhideWhenUsed/>
    <w:rsid w:val="00186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FA"/>
    <w:rPr>
      <w:rFonts w:ascii="Tahoma" w:hAnsi="Tahoma" w:cs="Tahoma"/>
      <w:sz w:val="16"/>
      <w:szCs w:val="16"/>
    </w:rPr>
  </w:style>
  <w:style w:type="paragraph" w:customStyle="1" w:styleId="Tabulkatext">
    <w:name w:val="Tabulka text"/>
    <w:link w:val="TabulkatextChar"/>
    <w:uiPriority w:val="6"/>
    <w:qFormat/>
    <w:rsid w:val="009A1AC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A1ACA"/>
    <w:rPr>
      <w:color w:val="080808"/>
      <w:sz w:val="20"/>
    </w:rPr>
  </w:style>
  <w:style w:type="paragraph" w:customStyle="1" w:styleId="Nvod">
    <w:name w:val="Návod"/>
    <w:basedOn w:val="Normln"/>
    <w:rsid w:val="00101302"/>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lang w:eastAsia="cs-CZ"/>
    </w:rPr>
  </w:style>
  <w:style w:type="paragraph" w:customStyle="1" w:styleId="slovn">
    <w:name w:val="číslování"/>
    <w:basedOn w:val="Normln"/>
    <w:rsid w:val="00101302"/>
    <w:pPr>
      <w:numPr>
        <w:numId w:val="18"/>
      </w:numPr>
      <w:spacing w:after="0" w:line="240" w:lineRule="auto"/>
      <w:jc w:val="center"/>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DF7CDA"/>
    <w:pPr>
      <w:spacing w:after="120"/>
    </w:pPr>
  </w:style>
  <w:style w:type="character" w:customStyle="1" w:styleId="ZkladntextChar">
    <w:name w:val="Základní text Char"/>
    <w:basedOn w:val="Standardnpsmoodstavce"/>
    <w:link w:val="Zkladntext"/>
    <w:uiPriority w:val="99"/>
    <w:semiHidden/>
    <w:rsid w:val="00DF7CDA"/>
  </w:style>
  <w:style w:type="numbering" w:customStyle="1" w:styleId="Bezseznamu1">
    <w:name w:val="Bez seznamu1"/>
    <w:next w:val="Bezseznamu"/>
    <w:uiPriority w:val="99"/>
    <w:semiHidden/>
    <w:unhideWhenUsed/>
    <w:rsid w:val="00DF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290">
      <w:bodyDiv w:val="1"/>
      <w:marLeft w:val="0"/>
      <w:marRight w:val="0"/>
      <w:marTop w:val="0"/>
      <w:marBottom w:val="0"/>
      <w:divBdr>
        <w:top w:val="none" w:sz="0" w:space="0" w:color="auto"/>
        <w:left w:val="none" w:sz="0" w:space="0" w:color="auto"/>
        <w:bottom w:val="none" w:sz="0" w:space="0" w:color="auto"/>
        <w:right w:val="none" w:sz="0" w:space="0" w:color="auto"/>
      </w:divBdr>
    </w:div>
    <w:div w:id="93333337">
      <w:bodyDiv w:val="1"/>
      <w:marLeft w:val="0"/>
      <w:marRight w:val="0"/>
      <w:marTop w:val="0"/>
      <w:marBottom w:val="0"/>
      <w:divBdr>
        <w:top w:val="none" w:sz="0" w:space="0" w:color="auto"/>
        <w:left w:val="none" w:sz="0" w:space="0" w:color="auto"/>
        <w:bottom w:val="none" w:sz="0" w:space="0" w:color="auto"/>
        <w:right w:val="none" w:sz="0" w:space="0" w:color="auto"/>
      </w:divBdr>
    </w:div>
    <w:div w:id="219094521">
      <w:bodyDiv w:val="1"/>
      <w:marLeft w:val="0"/>
      <w:marRight w:val="0"/>
      <w:marTop w:val="0"/>
      <w:marBottom w:val="0"/>
      <w:divBdr>
        <w:top w:val="none" w:sz="0" w:space="0" w:color="auto"/>
        <w:left w:val="none" w:sz="0" w:space="0" w:color="auto"/>
        <w:bottom w:val="none" w:sz="0" w:space="0" w:color="auto"/>
        <w:right w:val="none" w:sz="0" w:space="0" w:color="auto"/>
      </w:divBdr>
    </w:div>
    <w:div w:id="223953920">
      <w:bodyDiv w:val="1"/>
      <w:marLeft w:val="0"/>
      <w:marRight w:val="0"/>
      <w:marTop w:val="0"/>
      <w:marBottom w:val="0"/>
      <w:divBdr>
        <w:top w:val="none" w:sz="0" w:space="0" w:color="auto"/>
        <w:left w:val="none" w:sz="0" w:space="0" w:color="auto"/>
        <w:bottom w:val="none" w:sz="0" w:space="0" w:color="auto"/>
        <w:right w:val="none" w:sz="0" w:space="0" w:color="auto"/>
      </w:divBdr>
    </w:div>
    <w:div w:id="512688357">
      <w:bodyDiv w:val="1"/>
      <w:marLeft w:val="0"/>
      <w:marRight w:val="0"/>
      <w:marTop w:val="0"/>
      <w:marBottom w:val="0"/>
      <w:divBdr>
        <w:top w:val="none" w:sz="0" w:space="0" w:color="auto"/>
        <w:left w:val="none" w:sz="0" w:space="0" w:color="auto"/>
        <w:bottom w:val="none" w:sz="0" w:space="0" w:color="auto"/>
        <w:right w:val="none" w:sz="0" w:space="0" w:color="auto"/>
      </w:divBdr>
    </w:div>
    <w:div w:id="627051811">
      <w:bodyDiv w:val="1"/>
      <w:marLeft w:val="0"/>
      <w:marRight w:val="0"/>
      <w:marTop w:val="0"/>
      <w:marBottom w:val="0"/>
      <w:divBdr>
        <w:top w:val="none" w:sz="0" w:space="0" w:color="auto"/>
        <w:left w:val="none" w:sz="0" w:space="0" w:color="auto"/>
        <w:bottom w:val="none" w:sz="0" w:space="0" w:color="auto"/>
        <w:right w:val="none" w:sz="0" w:space="0" w:color="auto"/>
      </w:divBdr>
    </w:div>
    <w:div w:id="659774834">
      <w:bodyDiv w:val="1"/>
      <w:marLeft w:val="0"/>
      <w:marRight w:val="0"/>
      <w:marTop w:val="0"/>
      <w:marBottom w:val="0"/>
      <w:divBdr>
        <w:top w:val="none" w:sz="0" w:space="0" w:color="auto"/>
        <w:left w:val="none" w:sz="0" w:space="0" w:color="auto"/>
        <w:bottom w:val="none" w:sz="0" w:space="0" w:color="auto"/>
        <w:right w:val="none" w:sz="0" w:space="0" w:color="auto"/>
      </w:divBdr>
    </w:div>
    <w:div w:id="666175217">
      <w:bodyDiv w:val="1"/>
      <w:marLeft w:val="0"/>
      <w:marRight w:val="0"/>
      <w:marTop w:val="0"/>
      <w:marBottom w:val="0"/>
      <w:divBdr>
        <w:top w:val="none" w:sz="0" w:space="0" w:color="auto"/>
        <w:left w:val="none" w:sz="0" w:space="0" w:color="auto"/>
        <w:bottom w:val="none" w:sz="0" w:space="0" w:color="auto"/>
        <w:right w:val="none" w:sz="0" w:space="0" w:color="auto"/>
      </w:divBdr>
    </w:div>
    <w:div w:id="681469544">
      <w:bodyDiv w:val="1"/>
      <w:marLeft w:val="0"/>
      <w:marRight w:val="0"/>
      <w:marTop w:val="0"/>
      <w:marBottom w:val="0"/>
      <w:divBdr>
        <w:top w:val="none" w:sz="0" w:space="0" w:color="auto"/>
        <w:left w:val="none" w:sz="0" w:space="0" w:color="auto"/>
        <w:bottom w:val="none" w:sz="0" w:space="0" w:color="auto"/>
        <w:right w:val="none" w:sz="0" w:space="0" w:color="auto"/>
      </w:divBdr>
    </w:div>
    <w:div w:id="1028028568">
      <w:bodyDiv w:val="1"/>
      <w:marLeft w:val="0"/>
      <w:marRight w:val="0"/>
      <w:marTop w:val="0"/>
      <w:marBottom w:val="0"/>
      <w:divBdr>
        <w:top w:val="none" w:sz="0" w:space="0" w:color="auto"/>
        <w:left w:val="none" w:sz="0" w:space="0" w:color="auto"/>
        <w:bottom w:val="none" w:sz="0" w:space="0" w:color="auto"/>
        <w:right w:val="none" w:sz="0" w:space="0" w:color="auto"/>
      </w:divBdr>
    </w:div>
    <w:div w:id="1077244983">
      <w:bodyDiv w:val="1"/>
      <w:marLeft w:val="0"/>
      <w:marRight w:val="0"/>
      <w:marTop w:val="0"/>
      <w:marBottom w:val="0"/>
      <w:divBdr>
        <w:top w:val="none" w:sz="0" w:space="0" w:color="auto"/>
        <w:left w:val="none" w:sz="0" w:space="0" w:color="auto"/>
        <w:bottom w:val="none" w:sz="0" w:space="0" w:color="auto"/>
        <w:right w:val="none" w:sz="0" w:space="0" w:color="auto"/>
      </w:divBdr>
    </w:div>
    <w:div w:id="1091664825">
      <w:bodyDiv w:val="1"/>
      <w:marLeft w:val="0"/>
      <w:marRight w:val="0"/>
      <w:marTop w:val="0"/>
      <w:marBottom w:val="0"/>
      <w:divBdr>
        <w:top w:val="none" w:sz="0" w:space="0" w:color="auto"/>
        <w:left w:val="none" w:sz="0" w:space="0" w:color="auto"/>
        <w:bottom w:val="none" w:sz="0" w:space="0" w:color="auto"/>
        <w:right w:val="none" w:sz="0" w:space="0" w:color="auto"/>
      </w:divBdr>
    </w:div>
    <w:div w:id="1355614850">
      <w:bodyDiv w:val="1"/>
      <w:marLeft w:val="0"/>
      <w:marRight w:val="0"/>
      <w:marTop w:val="0"/>
      <w:marBottom w:val="0"/>
      <w:divBdr>
        <w:top w:val="none" w:sz="0" w:space="0" w:color="auto"/>
        <w:left w:val="none" w:sz="0" w:space="0" w:color="auto"/>
        <w:bottom w:val="none" w:sz="0" w:space="0" w:color="auto"/>
        <w:right w:val="none" w:sz="0" w:space="0" w:color="auto"/>
      </w:divBdr>
    </w:div>
    <w:div w:id="1634097383">
      <w:bodyDiv w:val="1"/>
      <w:marLeft w:val="0"/>
      <w:marRight w:val="0"/>
      <w:marTop w:val="0"/>
      <w:marBottom w:val="0"/>
      <w:divBdr>
        <w:top w:val="none" w:sz="0" w:space="0" w:color="auto"/>
        <w:left w:val="none" w:sz="0" w:space="0" w:color="auto"/>
        <w:bottom w:val="none" w:sz="0" w:space="0" w:color="auto"/>
        <w:right w:val="none" w:sz="0" w:space="0" w:color="auto"/>
      </w:divBdr>
    </w:div>
    <w:div w:id="1675257735">
      <w:bodyDiv w:val="1"/>
      <w:marLeft w:val="0"/>
      <w:marRight w:val="0"/>
      <w:marTop w:val="0"/>
      <w:marBottom w:val="0"/>
      <w:divBdr>
        <w:top w:val="none" w:sz="0" w:space="0" w:color="auto"/>
        <w:left w:val="none" w:sz="0" w:space="0" w:color="auto"/>
        <w:bottom w:val="none" w:sz="0" w:space="0" w:color="auto"/>
        <w:right w:val="none" w:sz="0" w:space="0" w:color="auto"/>
      </w:divBdr>
    </w:div>
    <w:div w:id="1957560930">
      <w:bodyDiv w:val="1"/>
      <w:marLeft w:val="0"/>
      <w:marRight w:val="0"/>
      <w:marTop w:val="0"/>
      <w:marBottom w:val="0"/>
      <w:divBdr>
        <w:top w:val="none" w:sz="0" w:space="0" w:color="auto"/>
        <w:left w:val="none" w:sz="0" w:space="0" w:color="auto"/>
        <w:bottom w:val="none" w:sz="0" w:space="0" w:color="auto"/>
        <w:right w:val="none" w:sz="0" w:space="0" w:color="auto"/>
      </w:divBdr>
    </w:div>
    <w:div w:id="20280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134F531519964B9234A81C7CF4E843" ma:contentTypeVersion="0" ma:contentTypeDescription="Vytvoří nový dokument" ma:contentTypeScope="" ma:versionID="d52131d4c32a52e22c7ae1585bf5cc5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C422-75B4-465D-BB9B-80D2E88223C6}">
  <ds:schemaRef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246726E-67CB-4EB1-B254-185C2C78FD69}">
  <ds:schemaRefs>
    <ds:schemaRef ds:uri="http://schemas.microsoft.com/sharepoint/v3/contenttype/forms"/>
  </ds:schemaRefs>
</ds:datastoreItem>
</file>

<file path=customXml/itemProps3.xml><?xml version="1.0" encoding="utf-8"?>
<ds:datastoreItem xmlns:ds="http://schemas.openxmlformats.org/officeDocument/2006/customXml" ds:itemID="{2A497A20-E6E8-48DE-842C-86D0B419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F8460-EF9D-4BF8-B7DB-7F50DF5C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Pages>
  <Words>3025</Words>
  <Characters>17849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Turečková Simona Ing.</dc:creator>
  <cp:lastModifiedBy>Synek Michal MUDr. Mgr.</cp:lastModifiedBy>
  <cp:revision>35</cp:revision>
  <cp:lastPrinted>2017-09-27T09:38:00Z</cp:lastPrinted>
  <dcterms:created xsi:type="dcterms:W3CDTF">2017-01-11T12:58:00Z</dcterms:created>
  <dcterms:modified xsi:type="dcterms:W3CDTF">2017-10-06T09:47:00Z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0x0101004B134F531519964B9234A81C7CF4E843</vt:lpwstr>
  </property>
</Properties>
</file>